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EDITAL DE CHAMAMENTO PÚBLICO Nº 002/2022</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ASSISTÊNCIA TÉCNICA PARA A HABITAÇÃO DE INTERESSE SOCIAL</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ATHIS –</w:t>
      </w:r>
    </w:p>
    <w:p>
      <w:pPr>
        <w:pStyle w:val="Normal"/>
        <w:spacing w:lineRule="auto" w:line="264"/>
        <w:rPr>
          <w:sz w:val="22"/>
          <w:szCs w:val="22"/>
        </w:rPr>
      </w:pPr>
      <w:r>
        <w:rPr>
          <w:sz w:val="22"/>
          <w:szCs w:val="22"/>
        </w:rPr>
      </w:r>
    </w:p>
    <w:p>
      <w:pPr>
        <w:pStyle w:val="Normal"/>
        <w:spacing w:lineRule="auto" w:line="264"/>
        <w:jc w:val="both"/>
        <w:rPr>
          <w:sz w:val="22"/>
          <w:szCs w:val="22"/>
        </w:rPr>
      </w:pPr>
      <w:r>
        <w:rPr>
          <w:sz w:val="22"/>
          <w:szCs w:val="22"/>
        </w:rPr>
        <w:t>O Conselho de Arquitetura e Urbanismo do Paraná – CAU/PR, Autarquia Federal criada pela da Lei nº 12.378, de 31 de dezembro de 2010, dotada de personalidade jurídica de direito público, TORNA PÚBLICO O PRESENTE CHAMAMENTO, sob a regência das Leis Federais n° 13.019/2014, Decreto nº 8.726/2016 e 12.378/2010, Deliberação Plenária CAU/PR n° 0099-08/2019, de 27 de agosto de 2019,</w:t>
      </w:r>
      <w:r>
        <w:rPr>
          <w:color w:val="FF0000"/>
          <w:sz w:val="22"/>
          <w:szCs w:val="22"/>
        </w:rPr>
        <w:t xml:space="preserve"> </w:t>
      </w:r>
      <w:r>
        <w:rPr>
          <w:sz w:val="22"/>
          <w:szCs w:val="22"/>
        </w:rPr>
        <w:t>e demais normas vigentes pertinentes à matéria, com a finalidade de selecionar Organizações da Sociedade Civil (OSC) para firmar parceria, por meio de Termo de Fomento, para o desenvolvimento e a execução de projetos de Apoio à Assistência Técnica Habitacional de Interesse Social (ATHIS), conforme as condições estabelecidas neste Edital e seus anexos.</w:t>
      </w:r>
    </w:p>
    <w:p>
      <w:pPr>
        <w:pStyle w:val="ListParagraph"/>
        <w:spacing w:lineRule="auto" w:line="264"/>
        <w:ind w:left="0" w:hanging="0"/>
        <w:jc w:val="both"/>
        <w:rPr>
          <w:rFonts w:ascii="Times New Roman" w:hAnsi="Times New Roman"/>
          <w:color w:val="FF0000"/>
          <w:sz w:val="22"/>
          <w:szCs w:val="22"/>
        </w:rPr>
      </w:pPr>
      <w:r>
        <w:rPr>
          <w:rFonts w:ascii="Times New Roman" w:hAnsi="Times New Roman"/>
          <w:color w:val="FF0000"/>
          <w:sz w:val="22"/>
          <w:szCs w:val="22"/>
        </w:rPr>
      </w:r>
    </w:p>
    <w:p>
      <w:pPr>
        <w:pStyle w:val="ListParagraph"/>
        <w:numPr>
          <w:ilvl w:val="0"/>
          <w:numId w:val="2"/>
        </w:numPr>
        <w:spacing w:before="0" w:after="240"/>
        <w:ind w:left="567" w:hanging="567"/>
        <w:jc w:val="both"/>
        <w:rPr>
          <w:rFonts w:ascii="Times New Roman" w:hAnsi="Times New Roman"/>
          <w:b/>
          <w:b/>
          <w:sz w:val="22"/>
          <w:szCs w:val="22"/>
        </w:rPr>
      </w:pPr>
      <w:r>
        <w:rPr>
          <w:rFonts w:ascii="Times New Roman" w:hAnsi="Times New Roman"/>
          <w:b/>
          <w:sz w:val="22"/>
          <w:szCs w:val="22"/>
        </w:rPr>
        <w:t>DO OBJETO</w:t>
      </w:r>
    </w:p>
    <w:p>
      <w:pPr>
        <w:pStyle w:val="ListParagraph"/>
        <w:numPr>
          <w:ilvl w:val="1"/>
          <w:numId w:val="2"/>
        </w:numPr>
        <w:spacing w:before="120" w:after="0"/>
        <w:ind w:left="567" w:hanging="567"/>
        <w:jc w:val="both"/>
        <w:rPr>
          <w:rFonts w:ascii="Times New Roman" w:hAnsi="Times New Roman"/>
          <w:sz w:val="22"/>
          <w:szCs w:val="22"/>
        </w:rPr>
      </w:pPr>
      <w:r>
        <w:rPr>
          <w:rFonts w:ascii="Times New Roman" w:hAnsi="Times New Roman"/>
          <w:sz w:val="22"/>
          <w:szCs w:val="22"/>
        </w:rPr>
        <w:t xml:space="preserve">Este Chamamento Público tem por objeto a seleção de Organizações da Sociedade Civil (OSC) para firmar parceria com o Conselho de Arquitetura e Urbanismo de Paraná – CAU/PR, por meio de Termo de Fomento, para o desenvolvimento e a execução de projetos </w:t>
      </w:r>
      <w:r>
        <w:rPr>
          <w:rFonts w:ascii="Times New Roman" w:hAnsi="Times New Roman"/>
          <w:color w:val="000000"/>
          <w:sz w:val="22"/>
          <w:szCs w:val="22"/>
        </w:rPr>
        <w:t>que visem contribuir com o</w:t>
      </w:r>
      <w:r>
        <w:rPr>
          <w:rFonts w:ascii="Times New Roman" w:hAnsi="Times New Roman"/>
          <w:sz w:val="22"/>
          <w:szCs w:val="22"/>
        </w:rPr>
        <w:t xml:space="preserve"> Apoio à Assistência Técnica Habitacional de Interesse Social (ATHIS), nos termos da Lei nº 11.888, de 24 de dezembro de 2008, observadas as regras gerais a seguir indicadas: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pPr>
        <w:pStyle w:val="ListParagraph"/>
        <w:numPr>
          <w:ilvl w:val="2"/>
          <w:numId w:val="2"/>
        </w:numPr>
        <w:spacing w:lineRule="auto" w:line="264" w:before="120" w:after="0"/>
        <w:ind w:left="1021" w:hanging="567"/>
        <w:jc w:val="both"/>
        <w:rPr>
          <w:rFonts w:ascii="Times New Roman" w:hAnsi="Times New Roman"/>
          <w:sz w:val="22"/>
          <w:szCs w:val="22"/>
        </w:rPr>
      </w:pPr>
      <w:r>
        <w:rPr>
          <w:rFonts w:ascii="Times New Roman" w:hAnsi="Times New Roman"/>
          <w:sz w:val="22"/>
          <w:szCs w:val="22"/>
        </w:rPr>
        <w:t>A apresentação de projetos referentes ao objeto deste Edital deverá observar o art. 7º da Deliberação Plenária CAU/PR N° 0099-08/2019, de 27 de agosto de 2019, nos seguintes termos:</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pPr>
        <w:pStyle w:val="ListParagraph"/>
        <w:numPr>
          <w:ilvl w:val="0"/>
          <w:numId w:val="3"/>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Informar, educar e difundir os conhecimentos e/ou a troca de experiências com vista à Assistência Técnica para Habitação de Interesse Social (ATHIS).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Os projetos não poderão ter objeto que envolva ou inclua, direta ou indiretamente, delegação das funções de regulação, de fiscalização, de exercício do poder de polícia ou de outras atividades exclusivas de Estado.</w:t>
      </w:r>
    </w:p>
    <w:p>
      <w:pPr>
        <w:pStyle w:val="ListParagraph"/>
        <w:numPr>
          <w:ilvl w:val="2"/>
          <w:numId w:val="2"/>
        </w:numPr>
        <w:suppressAutoHyphens w:val="false"/>
        <w:spacing w:lineRule="auto" w:line="264" w:before="60" w:after="0"/>
        <w:ind w:left="1021" w:hanging="567"/>
        <w:jc w:val="both"/>
        <w:rPr>
          <w:rFonts w:ascii="Times New Roman" w:hAnsi="Times New Roman"/>
          <w:sz w:val="22"/>
          <w:szCs w:val="22"/>
        </w:rPr>
      </w:pPr>
      <w:r>
        <w:rPr>
          <w:rFonts w:ascii="Times New Roman" w:hAnsi="Times New Roman"/>
          <w:sz w:val="22"/>
          <w:szCs w:val="22"/>
        </w:rPr>
        <w:t xml:space="preserve">Os projetos </w:t>
      </w:r>
      <w:r>
        <w:rPr>
          <w:rFonts w:ascii="Times New Roman" w:hAnsi="Times New Roman"/>
          <w:color w:val="000000"/>
          <w:sz w:val="22"/>
          <w:szCs w:val="22"/>
        </w:rPr>
        <w:t>de capacitação profissional, residência ou extensão universitária na área de arquitetura e urbanismo devem prever</w:t>
      </w:r>
      <w:r>
        <w:rPr>
          <w:rFonts w:ascii="Times New Roman" w:hAnsi="Times New Roman"/>
          <w:color w:val="FF0000"/>
          <w:sz w:val="22"/>
          <w:szCs w:val="22"/>
        </w:rPr>
        <w:t xml:space="preserve"> </w:t>
      </w:r>
      <w:r>
        <w:rPr>
          <w:rFonts w:ascii="Times New Roman" w:hAnsi="Times New Roman"/>
          <w:sz w:val="22"/>
          <w:szCs w:val="22"/>
        </w:rPr>
        <w:t xml:space="preserve">a busca de inovação tecnológica, a formulação de metodologias de caráter participativo e a democratização do conhecimento (artigo 5º </w:t>
      </w:r>
      <w:r>
        <w:rPr>
          <w:rFonts w:ascii="Times New Roman" w:hAnsi="Times New Roman"/>
          <w:color w:val="000000"/>
          <w:sz w:val="22"/>
          <w:szCs w:val="22"/>
        </w:rPr>
        <w:t>e</w:t>
      </w:r>
      <w:r>
        <w:rPr>
          <w:rFonts w:ascii="Times New Roman" w:hAnsi="Times New Roman"/>
          <w:sz w:val="22"/>
          <w:szCs w:val="22"/>
        </w:rPr>
        <w:t xml:space="preserve"> parágrafo único, da Lei n.º 11.888/2008).</w:t>
      </w:r>
    </w:p>
    <w:p>
      <w:pPr>
        <w:pStyle w:val="ListParagraph"/>
        <w:numPr>
          <w:ilvl w:val="2"/>
          <w:numId w:val="2"/>
        </w:numPr>
        <w:suppressAutoHyphens w:val="false"/>
        <w:spacing w:lineRule="auto" w:line="264" w:before="60" w:after="0"/>
        <w:ind w:left="1021" w:hanging="567"/>
        <w:jc w:val="both"/>
        <w:rPr>
          <w:rFonts w:ascii="Times New Roman" w:hAnsi="Times New Roman"/>
          <w:sz w:val="22"/>
          <w:szCs w:val="22"/>
        </w:rPr>
      </w:pPr>
      <w:r>
        <w:rPr>
          <w:rFonts w:ascii="Times New Roman" w:hAnsi="Times New Roman"/>
          <w:sz w:val="22"/>
          <w:szCs w:val="22"/>
        </w:rPr>
        <w:t>Os projetos deverão contemplar ao menos 01 das seguintes ações:</w:t>
      </w:r>
    </w:p>
    <w:p>
      <w:pPr>
        <w:pStyle w:val="ListParagraph"/>
        <w:numPr>
          <w:ilvl w:val="0"/>
          <w:numId w:val="4"/>
        </w:numPr>
        <w:spacing w:lineRule="auto" w:line="264" w:before="40" w:after="0"/>
        <w:ind w:left="1588" w:hanging="567"/>
        <w:jc w:val="both"/>
        <w:rPr/>
      </w:pPr>
      <w:r>
        <w:rPr>
          <w:rFonts w:ascii="Times New Roman" w:hAnsi="Times New Roman"/>
          <w:sz w:val="22"/>
          <w:szCs w:val="22"/>
        </w:rPr>
        <w:t>Desenvolvimento de ações de formação (capacitação) de profissionais de Arquitetura e Urbanismo</w:t>
      </w:r>
    </w:p>
    <w:p>
      <w:pPr>
        <w:pStyle w:val="ListParagraph"/>
        <w:numPr>
          <w:ilvl w:val="0"/>
          <w:numId w:val="4"/>
        </w:numPr>
        <w:spacing w:lineRule="auto" w:line="264" w:before="40" w:after="0"/>
        <w:ind w:left="1588" w:hanging="567"/>
        <w:jc w:val="both"/>
        <w:rPr/>
      </w:pPr>
      <w:r>
        <w:rPr>
          <w:rFonts w:ascii="Times New Roman" w:hAnsi="Times New Roman"/>
          <w:sz w:val="22"/>
          <w:szCs w:val="22"/>
        </w:rPr>
        <w:t>Desenvolvimento de ações voltadas à capacitação e sensibilização da comunidade usuária em Assistência Técnica para Habitação de Interesse Social;</w:t>
      </w:r>
    </w:p>
    <w:p>
      <w:pPr>
        <w:pStyle w:val="ListParagraph"/>
        <w:numPr>
          <w:ilvl w:val="0"/>
          <w:numId w:val="4"/>
        </w:numPr>
        <w:spacing w:lineRule="auto" w:line="264" w:before="40" w:after="0"/>
        <w:ind w:left="1588" w:hanging="567"/>
        <w:jc w:val="both"/>
        <w:rPr/>
      </w:pPr>
      <w:r>
        <w:rPr>
          <w:rFonts w:ascii="Times New Roman" w:hAnsi="Times New Roman"/>
          <w:sz w:val="22"/>
          <w:szCs w:val="22"/>
        </w:rPr>
        <w:t>Desenvolvimento de ações de sensibilização do Poder Público quanto à Assistência Técnica para Habitação de Interesse Social;</w:t>
      </w:r>
    </w:p>
    <w:p>
      <w:pPr>
        <w:pStyle w:val="ListParagraph"/>
        <w:numPr>
          <w:ilvl w:val="0"/>
          <w:numId w:val="4"/>
        </w:numPr>
        <w:spacing w:lineRule="auto" w:line="264" w:before="40" w:after="0"/>
        <w:ind w:left="1588" w:hanging="567"/>
        <w:jc w:val="both"/>
        <w:rPr/>
      </w:pPr>
      <w:r>
        <w:rPr>
          <w:rFonts w:ascii="Times New Roman" w:hAnsi="Times New Roman"/>
          <w:sz w:val="22"/>
          <w:szCs w:val="22"/>
        </w:rPr>
        <w:t>Promoção de ações de capacitação de mão de obra voltada à construção civil;</w:t>
      </w:r>
    </w:p>
    <w:p>
      <w:pPr>
        <w:pStyle w:val="ListParagraph"/>
        <w:numPr>
          <w:ilvl w:val="0"/>
          <w:numId w:val="4"/>
        </w:numPr>
        <w:spacing w:lineRule="auto" w:line="264" w:before="40" w:after="0"/>
        <w:ind w:left="1588" w:hanging="567"/>
        <w:jc w:val="both"/>
        <w:rPr/>
      </w:pPr>
      <w:r>
        <w:rPr>
          <w:rFonts w:ascii="Times New Roman" w:hAnsi="Times New Roman"/>
          <w:sz w:val="22"/>
          <w:szCs w:val="22"/>
        </w:rPr>
        <w:t>Promoção da difusão do conhecimento voltado à Assistência Técnica para Habitação de Interesse Social;</w:t>
      </w:r>
    </w:p>
    <w:p>
      <w:pPr>
        <w:pStyle w:val="ListParagraph"/>
        <w:numPr>
          <w:ilvl w:val="0"/>
          <w:numId w:val="4"/>
        </w:numPr>
        <w:spacing w:lineRule="auto" w:line="264" w:before="40" w:after="0"/>
        <w:ind w:left="1588" w:hanging="567"/>
        <w:jc w:val="both"/>
        <w:rPr/>
      </w:pPr>
      <w:r>
        <w:rPr>
          <w:rFonts w:ascii="Times New Roman" w:hAnsi="Times New Roman"/>
          <w:sz w:val="22"/>
          <w:szCs w:val="22"/>
        </w:rPr>
        <w:t>Elaboração de cadastramento e levantamento de necessidades habitacionais em um determinado território;</w:t>
      </w:r>
    </w:p>
    <w:p>
      <w:pPr>
        <w:pStyle w:val="ListParagraph"/>
        <w:spacing w:lineRule="auto" w:line="264" w:before="40" w:after="0"/>
        <w:ind w:left="3147" w:hanging="0"/>
        <w:jc w:val="both"/>
        <w:rPr/>
      </w:pPr>
      <w:r>
        <w:rPr/>
      </w:r>
    </w:p>
    <w:p>
      <w:pPr>
        <w:pStyle w:val="ListParagraph"/>
        <w:numPr>
          <w:ilvl w:val="3"/>
          <w:numId w:val="2"/>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do disposto na alínea “b”, entende-se por comunidade usuária as famílias de baixa renda residentes em áreas urbanas ou rurais, com renda mensal de até 3 (três) salários mínimos (artigo 2º, da Lei n.º 11.888/2008).</w:t>
      </w:r>
    </w:p>
    <w:p>
      <w:pPr>
        <w:pStyle w:val="ListParagraph"/>
        <w:numPr>
          <w:ilvl w:val="3"/>
          <w:numId w:val="2"/>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de seleção da comunidade usuária ou da comprovação do seu enquadramento como comunidade beneficiária deverão ser consultados os sistemas de atendimento implantados por órgãos colegiados municipais, nos termos do § 4º, do artigo 3º, da Lei n.º 11.888/2008, assim como fontes primárias de órgãos oficiais.</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Na execução do objeto deverá ser assegurado o devido Registro de Responsabilidade Técnica, quando cabível.</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Ao final da elaboração do projeto, deverá ser apresentado, quando da Prestação de Contas, Relatório Final contendo uma análise crítica referente aos entraves encontrados, visando futura multiplicação (indução) do projeto apresentado.</w:t>
      </w:r>
    </w:p>
    <w:p>
      <w:pPr>
        <w:pStyle w:val="ListParagraph"/>
        <w:numPr>
          <w:ilvl w:val="2"/>
          <w:numId w:val="2"/>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pPr>
        <w:pStyle w:val="ListParagraph"/>
        <w:spacing w:before="120" w:after="0"/>
        <w:ind w:left="0"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0" w:after="0"/>
        <w:ind w:left="0" w:hanging="0"/>
        <w:jc w:val="both"/>
        <w:rPr>
          <w:rFonts w:ascii="Times New Roman" w:hAnsi="Times New Roman"/>
          <w:b/>
          <w:b/>
          <w:sz w:val="22"/>
          <w:szCs w:val="22"/>
        </w:rPr>
      </w:pPr>
      <w:r>
        <w:rPr>
          <w:rFonts w:ascii="Times New Roman" w:hAnsi="Times New Roman"/>
          <w:b/>
          <w:sz w:val="22"/>
          <w:szCs w:val="22"/>
        </w:rPr>
        <w:t>DAS DEFINIÇÕES</w:t>
      </w:r>
    </w:p>
    <w:p>
      <w:pPr>
        <w:pStyle w:val="Normal"/>
        <w:jc w:val="both"/>
        <w:rPr>
          <w:vanish/>
          <w:sz w:val="22"/>
          <w:szCs w:val="22"/>
        </w:rPr>
      </w:pPr>
      <w:r>
        <w:rPr>
          <w:vanish/>
          <w:sz w:val="22"/>
          <w:szCs w:val="22"/>
        </w:rPr>
      </w:r>
    </w:p>
    <w:p>
      <w:pPr>
        <w:pStyle w:val="ListParagraph"/>
        <w:numPr>
          <w:ilvl w:val="1"/>
          <w:numId w:val="1"/>
        </w:numPr>
        <w:spacing w:lineRule="auto" w:line="264" w:before="120" w:after="0"/>
        <w:ind w:left="567" w:hanging="567"/>
        <w:jc w:val="both"/>
        <w:rPr>
          <w:rFonts w:ascii="Times New Roman" w:hAnsi="Times New Roman"/>
          <w:sz w:val="22"/>
          <w:szCs w:val="22"/>
        </w:rPr>
      </w:pPr>
      <w:r>
        <w:rPr>
          <w:rFonts w:ascii="Times New Roman" w:hAnsi="Times New Roman"/>
          <w:sz w:val="22"/>
          <w:szCs w:val="22"/>
        </w:rPr>
        <w:t>Para fins deste edital, entende-se por: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Chamamento público: procedimento destinado a organização da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Organização da sociedade civil:</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Projeto: conjunto de operações, limitadas no tempo, das quais resulta um produto destinado à satisfação de interesses compartilhados pelo CAU/PR e pela organização da sociedade civil;</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Dirigente: pessoa que detenha poderes de administração, gestão ou controle da organização da sociedade civil, habilitada a assinar termo de fomento ou termo de colaboração com o CAU/PR, para a consecução de finalidade de interesse público e recíproco, ainda que delegue essa competência a terceiros;</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 xml:space="preserve">Comissão de seleção: órgão colegiado 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Comissão de monitoramento e avaliação: órgão colegiado destinado a monitorar e avaliar as parcerias celebradas com organizações da sociedade civil mediante termo de fomento, constituído por ato publicado em meio oficial de comunicação, assegurada a participação de pelo menos um servidor ocupante de cargo efetivo ou emprego permanente do quadro de pessoal do CAU/PR;</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p>
    <w:p>
      <w:pPr>
        <w:pStyle w:val="ListParagraph"/>
        <w:numPr>
          <w:ilvl w:val="2"/>
          <w:numId w:val="2"/>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pPr>
        <w:pStyle w:val="ListParagraph"/>
        <w:suppressAutoHyphens w:val="false"/>
        <w:spacing w:lineRule="auto" w:line="264" w:before="120" w:after="120"/>
        <w:ind w:left="1701" w:hanging="0"/>
        <w:jc w:val="both"/>
        <w:rPr>
          <w:rFonts w:ascii="Times New Roman" w:hAnsi="Times New Roman"/>
          <w:sz w:val="22"/>
          <w:szCs w:val="22"/>
          <w:highlight w:val="yellow"/>
        </w:rPr>
      </w:pPr>
      <w:r>
        <w:rPr>
          <w:rFonts w:ascii="Times New Roman" w:hAnsi="Times New Roman"/>
          <w:sz w:val="22"/>
          <w:szCs w:val="22"/>
          <w:highlight w:val="yellow"/>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 DESPESA E DOS RECURSOS ORÇAMENTÁRIOS</w:t>
      </w:r>
    </w:p>
    <w:p>
      <w:pPr>
        <w:pStyle w:val="ListParagraph"/>
        <w:ind w:left="0" w:hanging="0"/>
        <w:jc w:val="both"/>
        <w:rPr>
          <w:rFonts w:ascii="Times New Roman" w:hAnsi="Times New Roman"/>
          <w:b/>
          <w:b/>
          <w:sz w:val="22"/>
          <w:szCs w:val="22"/>
        </w:rPr>
      </w:pPr>
      <w:r>
        <w:rPr>
          <w:rFonts w:ascii="Times New Roman" w:hAnsi="Times New Roman"/>
          <w:b/>
          <w:sz w:val="22"/>
          <w:szCs w:val="22"/>
        </w:rPr>
      </w:r>
    </w:p>
    <w:p>
      <w:pPr>
        <w:pStyle w:val="ListParagraph"/>
        <w:numPr>
          <w:ilvl w:val="1"/>
          <w:numId w:val="2"/>
        </w:numPr>
        <w:ind w:left="567" w:hanging="567"/>
        <w:jc w:val="both"/>
        <w:rPr>
          <w:rFonts w:ascii="Times New Roman" w:hAnsi="Times New Roman"/>
          <w:b/>
          <w:b/>
          <w:sz w:val="22"/>
          <w:szCs w:val="22"/>
        </w:rPr>
      </w:pPr>
      <w:r>
        <w:rPr>
          <w:rFonts w:ascii="Times New Roman" w:hAnsi="Times New Roman"/>
          <w:sz w:val="22"/>
          <w:szCs w:val="22"/>
        </w:rPr>
        <w:t xml:space="preserve">A despesa com a execução das parcerias a serem firmadas, nos termos deste Edital e previstos no Plano de Ação e Orçamento do CAU/PR para 2022, são do montante </w:t>
      </w:r>
      <w:r>
        <w:rPr>
          <w:rFonts w:ascii="Times New Roman" w:hAnsi="Times New Roman"/>
          <w:color w:val="000000"/>
          <w:sz w:val="22"/>
          <w:szCs w:val="22"/>
        </w:rPr>
        <w:t>de R$ 150.000,00 (cento e cincoenta mil reais).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Dotação Orçamentária para a despesa prevista, relativa ao exercício de 2022, advirá do Centro de Custo 4.02.05.2.03 - PROJETOS GERÊNCIA DE FISCALIZAÇÃO – ATHIS, Conta Orçamentária 6.2.2.1.1.01.07.02.002 – Convênios, Acordos e Ajuda a Entidades.</w:t>
      </w:r>
    </w:p>
    <w:p>
      <w:pPr>
        <w:pStyle w:val="ListParagraph"/>
        <w:suppressAutoHyphens w:val="false"/>
        <w:spacing w:before="120" w:after="120"/>
        <w:ind w:left="1134" w:right="108"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ind w:left="0" w:hanging="0"/>
        <w:jc w:val="both"/>
        <w:rPr>
          <w:rFonts w:ascii="Times New Roman" w:hAnsi="Times New Roman"/>
          <w:b/>
          <w:b/>
          <w:sz w:val="22"/>
          <w:szCs w:val="22"/>
        </w:rPr>
      </w:pPr>
      <w:r>
        <w:rPr>
          <w:rFonts w:ascii="Times New Roman" w:hAnsi="Times New Roman"/>
          <w:b/>
          <w:sz w:val="22"/>
          <w:szCs w:val="22"/>
        </w:rPr>
        <w:t>DAS CONDIÇÕES DE PARTICIPAÇÃO</w:t>
      </w:r>
    </w:p>
    <w:p>
      <w:pPr>
        <w:pStyle w:val="ListParagraph"/>
        <w:ind w:left="0" w:hanging="0"/>
        <w:jc w:val="both"/>
        <w:rPr>
          <w:rFonts w:ascii="Times New Roman" w:hAnsi="Times New Roman"/>
          <w:vanish/>
          <w:sz w:val="22"/>
          <w:szCs w:val="22"/>
        </w:rPr>
      </w:pPr>
      <w:r>
        <w:rPr>
          <w:rFonts w:ascii="Times New Roman" w:hAnsi="Times New Roman"/>
          <w:vanish/>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entidades privadas, sem fins lucrativos</w:t>
      </w:r>
      <w:r>
        <w:rPr>
          <w:rFonts w:ascii="Times New Roman" w:hAnsi="Times New Roman"/>
          <w:sz w:val="22"/>
          <w:szCs w:val="22"/>
        </w:rPr>
        <w:t>, que preencham, além do disposto na Lei nº 13.019/14, os seguintes requisitos:</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estejam impedidas de celebrar parcerias com a Administração Pública Federal (Art. 39 da Lei nº 13.019/14);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pPr>
        <w:pStyle w:val="ListParagraph"/>
        <w:suppressAutoHyphens w:val="false"/>
        <w:spacing w:lineRule="auto" w:line="264" w:before="120" w:after="0"/>
        <w:ind w:left="6248" w:hanging="0"/>
        <w:jc w:val="both"/>
        <w:rPr/>
      </w:pPr>
      <w:r>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 xml:space="preserve">Podem participar do Chamamento Público quaisquer </w:t>
      </w:r>
      <w:r>
        <w:rPr>
          <w:rFonts w:ascii="Times New Roman" w:hAnsi="Times New Roman"/>
          <w:b/>
          <w:sz w:val="22"/>
          <w:szCs w:val="22"/>
        </w:rPr>
        <w:t>municípios do Estado do Paraná</w:t>
      </w:r>
      <w:r>
        <w:rPr>
          <w:rFonts w:ascii="Times New Roman" w:hAnsi="Times New Roman"/>
          <w:sz w:val="22"/>
          <w:szCs w:val="22"/>
        </w:rPr>
        <w:t>, que:</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b/>
          <w:b/>
          <w:sz w:val="22"/>
          <w:szCs w:val="22"/>
        </w:rPr>
      </w:pPr>
      <w:r>
        <w:rPr>
          <w:rFonts w:ascii="Times New Roman" w:hAnsi="Times New Roman"/>
          <w:sz w:val="22"/>
          <w:szCs w:val="22"/>
        </w:rPr>
        <w:t>Possuam, entre seus servidores efetivos, arquiteto e urbanista concursado para atuar como responsável pelo projeto;</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sz w:val="22"/>
          <w:szCs w:val="22"/>
        </w:rPr>
      </w:pPr>
      <w:r>
        <w:rPr>
          <w:rFonts w:ascii="Times New Roman" w:hAnsi="Times New Roman"/>
          <w:sz w:val="22"/>
          <w:szCs w:val="22"/>
        </w:rPr>
        <w:t xml:space="preserve">Possuam Certificado de Regularidade Previdenciária (CRP) ativo; </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sz w:val="22"/>
          <w:szCs w:val="22"/>
        </w:rPr>
      </w:pPr>
      <w:r>
        <w:rPr>
          <w:rFonts w:ascii="Times New Roman" w:hAnsi="Times New Roman"/>
          <w:sz w:val="22"/>
          <w:szCs w:val="22"/>
        </w:rPr>
        <w:t>Regularidade fiscal e sem restrições do Tribunal de Contas do Estado do Paraná e da União;</w:t>
      </w:r>
    </w:p>
    <w:p>
      <w:pPr>
        <w:pStyle w:val="ListParagraph"/>
        <w:numPr>
          <w:ilvl w:val="2"/>
          <w:numId w:val="2"/>
        </w:numPr>
        <w:tabs>
          <w:tab w:val="clear" w:pos="708"/>
          <w:tab w:val="left" w:pos="1134" w:leader="none"/>
        </w:tabs>
        <w:spacing w:lineRule="auto" w:line="264" w:before="120" w:after="0"/>
        <w:ind w:left="567" w:hanging="11"/>
        <w:jc w:val="both"/>
        <w:rPr>
          <w:rFonts w:ascii="Times New Roman" w:hAnsi="Times New Roman"/>
          <w:sz w:val="22"/>
          <w:szCs w:val="22"/>
        </w:rPr>
      </w:pPr>
      <w:r>
        <w:rPr>
          <w:rFonts w:ascii="Times New Roman" w:hAnsi="Times New Roman"/>
          <w:sz w:val="22"/>
          <w:szCs w:val="22"/>
        </w:rPr>
        <w:t>Acatem a aplicação do presente edital e termos sem restrições ou reservas.</w:t>
      </w:r>
    </w:p>
    <w:p>
      <w:pPr>
        <w:pStyle w:val="Normal"/>
        <w:tabs>
          <w:tab w:val="clear" w:pos="708"/>
          <w:tab w:val="left" w:pos="1134" w:leader="none"/>
        </w:tabs>
        <w:spacing w:lineRule="auto" w:line="264" w:before="120" w:after="0"/>
        <w:jc w:val="both"/>
        <w:rPr>
          <w:b/>
          <w:b/>
          <w:sz w:val="22"/>
          <w:szCs w:val="22"/>
        </w:rPr>
      </w:pPr>
      <w:r>
        <w:rPr>
          <w:b/>
          <w:sz w:val="22"/>
          <w:szCs w:val="22"/>
        </w:rPr>
      </w:r>
    </w:p>
    <w:p>
      <w:pPr>
        <w:pStyle w:val="ListParagraph"/>
        <w:numPr>
          <w:ilvl w:val="1"/>
          <w:numId w:val="2"/>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Não poderá participar do Chamamento a Organização da Sociedade Civil que, nos termos do artigo 39 da Lei nº 13.019/2014:</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reconsiderada ou revista a decisão pela rejeição;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apreciação das contas estiver pendente de decisão sobre recurso com efeito suspensivo.</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licitar ou contratar com a administração pública;</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pPr>
        <w:pStyle w:val="ListParagraph"/>
        <w:numPr>
          <w:ilvl w:val="2"/>
          <w:numId w:val="2"/>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entre seus dirigentes: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julgada responsável por falta grave e inabilitada para o exercício de cargo em comissão ou função de confiança, enquanto durar a inabilitação;</w:t>
      </w:r>
    </w:p>
    <w:p>
      <w:pPr>
        <w:pStyle w:val="ListParagraph"/>
        <w:numPr>
          <w:ilvl w:val="3"/>
          <w:numId w:val="2"/>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r>
        <w:fldChar w:fldCharType="begin"/>
      </w:r>
      <w:r>
        <w:rPr>
          <w:sz w:val="22"/>
          <w:szCs w:val="22"/>
          <w:rFonts w:ascii="Times New Roman" w:hAnsi="Times New Roman"/>
        </w:rPr>
        <w:instrText> HYPERLINK "http://www.planalto.gov.br/ccivil_03/LEIS/L8429.htm" \l "art12i"</w:instrText>
      </w:r>
      <w:r>
        <w:rPr>
          <w:sz w:val="22"/>
          <w:szCs w:val="22"/>
          <w:rFonts w:ascii="Times New Roman" w:hAnsi="Times New Roman"/>
        </w:rPr>
        <w:fldChar w:fldCharType="separate"/>
      </w:r>
      <w:r>
        <w:rPr>
          <w:rFonts w:ascii="Times New Roman" w:hAnsi="Times New Roman"/>
          <w:sz w:val="22"/>
          <w:szCs w:val="22"/>
        </w:rPr>
        <w:t xml:space="preserve"> incisos I, II e III do art. 12 da Lei no 8.429, de 2 de junho de 1992;</w:t>
      </w:r>
      <w:r>
        <w:rPr>
          <w:sz w:val="22"/>
          <w:szCs w:val="22"/>
          <w:rFonts w:ascii="Times New Roman" w:hAnsi="Times New Roman"/>
        </w:rPr>
        <w:fldChar w:fldCharType="end"/>
      </w:r>
    </w:p>
    <w:p>
      <w:pPr>
        <w:pStyle w:val="ListParagraph"/>
        <w:numPr>
          <w:ilvl w:val="2"/>
          <w:numId w:val="2"/>
        </w:numPr>
        <w:tabs>
          <w:tab w:val="clear" w:pos="708"/>
          <w:tab w:val="left" w:pos="567" w:leader="none"/>
        </w:tabs>
        <w:spacing w:lineRule="auto" w:line="264" w:before="120" w:after="0"/>
        <w:ind w:left="0" w:hanging="0"/>
        <w:jc w:val="both"/>
        <w:rPr>
          <w:rFonts w:ascii="Times New Roman" w:hAnsi="Times New Roman"/>
          <w:sz w:val="22"/>
          <w:szCs w:val="22"/>
        </w:rPr>
      </w:pPr>
      <w:r>
        <w:rPr>
          <w:rFonts w:ascii="Times New Roman" w:hAnsi="Times New Roman"/>
          <w:sz w:val="22"/>
          <w:szCs w:val="22"/>
        </w:rPr>
        <w:t>É vedada a participação de servidores ou dirigentes do CAU/PR no projeto a ser apoiado, bem como seus cônjuges, companheiros ou parentes até segundo grau;</w:t>
      </w:r>
      <w:bookmarkStart w:id="0" w:name="page63R_mcid32"/>
      <w:bookmarkEnd w:id="0"/>
    </w:p>
    <w:p>
      <w:pPr>
        <w:pStyle w:val="ListParagraph"/>
        <w:numPr>
          <w:ilvl w:val="3"/>
          <w:numId w:val="2"/>
        </w:numPr>
        <w:tabs>
          <w:tab w:val="clear" w:pos="708"/>
          <w:tab w:val="left" w:pos="567" w:leader="none"/>
        </w:tabs>
        <w:spacing w:lineRule="auto" w:line="264" w:before="120" w:after="0"/>
        <w:ind w:left="1134" w:hanging="0"/>
        <w:jc w:val="both"/>
        <w:rPr>
          <w:rFonts w:ascii="Times New Roman" w:hAnsi="Times New Roman"/>
          <w:sz w:val="22"/>
          <w:szCs w:val="22"/>
        </w:rPr>
      </w:pPr>
      <w:r>
        <w:rPr>
          <w:rFonts w:ascii="Times New Roman" w:hAnsi="Times New Roman"/>
          <w:sz w:val="22"/>
          <w:szCs w:val="22"/>
        </w:rPr>
        <w:t xml:space="preserve">Entende-se por dirigentes do CAU/PR: presidente, vice-presidente e coordenadores de comissões.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parcerias deverão ser executadas nos termos deste Edital, sendo vedado, ainda: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participação neste processo implica a aceitação plena e irrevogável das normas deste Edital.</w:t>
      </w:r>
    </w:p>
    <w:p>
      <w:pPr>
        <w:pStyle w:val="ListParagraph"/>
        <w:suppressAutoHyphens w:val="false"/>
        <w:spacing w:lineRule="auto" w:line="264" w:before="120" w:after="0"/>
        <w:ind w:left="567"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PROJETOS</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szCs w:val="22"/>
        </w:rPr>
        <w:t>e na legislação em vigor.</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Nos termos do art. 17, inciso II da Deliberação Plenária CAU/PR N° 0099-08/2019, de 27 de agosto de 2019, aos projetos apresentados será destinado o valor máximo de R$ 150.000,00 (cento e cinquenta mil reais), sendo este valor distribuído em </w:t>
      </w:r>
      <w:r>
        <w:rPr>
          <w:rFonts w:ascii="Times New Roman" w:hAnsi="Times New Roman"/>
          <w:b/>
          <w:sz w:val="22"/>
          <w:szCs w:val="22"/>
        </w:rPr>
        <w:t>três cotas de até R$ 50.000,00</w:t>
      </w:r>
      <w:r>
        <w:rPr>
          <w:rFonts w:ascii="Times New Roman" w:hAnsi="Times New Roman"/>
          <w:sz w:val="22"/>
          <w:szCs w:val="22"/>
        </w:rPr>
        <w:t xml:space="preserve"> (cinquenta mil reais) cada.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Não haverá limitação ao número de projetos de um mesmo proponente, desde que atendam ao objeto desta chamada pública e às exigências deste edital e normas pertinentes, devendo cada projeto ser apresentado separadamente.</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Somente são elegíveis projetos cuja execução não ultrapasse 12 (doze) meses a partir do recebimento da primeira parcela. </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pPr>
        <w:pStyle w:val="ListParagraph"/>
        <w:numPr>
          <w:ilvl w:val="1"/>
          <w:numId w:val="2"/>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Os valores a serem repassados pelo CAU/PR para atendimento das parcerias a serem firmadas, a que se refere o item 3 do presente edital, serão equivalentes a no mínimo 2% (dois por cento) da receita anual do </w:t>
      </w:r>
      <w:r>
        <w:rPr>
          <w:rFonts w:ascii="Times New Roman" w:hAnsi="Times New Roman"/>
          <w:color w:val="000000"/>
          <w:sz w:val="22"/>
          <w:szCs w:val="22"/>
        </w:rPr>
        <w:t>Conselho</w:t>
      </w:r>
      <w:r>
        <w:rPr>
          <w:rFonts w:ascii="Times New Roman" w:hAnsi="Times New Roman"/>
          <w:sz w:val="22"/>
          <w:szCs w:val="22"/>
        </w:rPr>
        <w:t>, tendo em vista o percentual aprovado no plano de ação do CAU/PR de 2022.</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color w:val="000000"/>
        </w:rPr>
      </w:pPr>
      <w:r>
        <w:rPr>
          <w:rFonts w:ascii="Times New Roman" w:hAnsi="Times New Roman"/>
          <w:b/>
          <w:color w:val="000000"/>
          <w:sz w:val="22"/>
          <w:szCs w:val="22"/>
        </w:rPr>
        <w:t>DAS PROPOSTAS</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As Organizações da Sociedade Civil interessadas em estabelecer a parceria, nos termos do presente edital, deverão apresentar a proposta do projeto, por meio do preenchimento das informações constantes do de Formulário de Apresentação de Projeto, Anexo I, do presente Edital.</w:t>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 xml:space="preserve">As despesas relacionadas à execução das propostas serão executadas nos termos do presente edital, sendo, a) admitidas: somente, as despesas previstas no Manual de Prestação de Contas – Anexo XI; b) vedadas: conforme artigo 45 da Lei nº 13.019/2015: </w:t>
      </w:r>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utilizar recursos para finalidade alheia ao objeto da parceria;</w:t>
      </w:r>
      <w:bookmarkStart w:id="1" w:name="art45ii"/>
      <w:bookmarkEnd w:id="1"/>
    </w:p>
    <w:p>
      <w:pPr>
        <w:pStyle w:val="ListParagraph"/>
        <w:numPr>
          <w:ilvl w:val="0"/>
          <w:numId w:val="11"/>
        </w:numPr>
        <w:suppressAutoHyphens w:val="false"/>
        <w:spacing w:lineRule="auto" w:line="264" w:before="120" w:after="0"/>
        <w:jc w:val="both"/>
        <w:rPr>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pPr>
        <w:pStyle w:val="Normal"/>
        <w:spacing w:lineRule="auto" w:line="264"/>
        <w:rPr>
          <w:color w:val="000000"/>
          <w:sz w:val="22"/>
          <w:szCs w:val="22"/>
        </w:rPr>
      </w:pPr>
      <w:r>
        <w:rPr>
          <w:color w:val="000000"/>
          <w:sz w:val="22"/>
          <w:szCs w:val="22"/>
        </w:rPr>
      </w:r>
    </w:p>
    <w:p>
      <w:pPr>
        <w:pStyle w:val="ListParagraph"/>
        <w:numPr>
          <w:ilvl w:val="0"/>
          <w:numId w:val="2"/>
        </w:numPr>
        <w:spacing w:before="121" w:after="0"/>
        <w:ind w:left="567" w:right="106" w:hanging="567"/>
        <w:jc w:val="both"/>
        <w:rPr>
          <w:rFonts w:ascii="Times New Roman" w:hAnsi="Times New Roman"/>
          <w:b/>
          <w:b/>
          <w:color w:val="000000"/>
          <w:sz w:val="22"/>
          <w:szCs w:val="22"/>
        </w:rPr>
      </w:pPr>
      <w:r>
        <w:rPr>
          <w:rFonts w:ascii="Times New Roman" w:hAnsi="Times New Roman"/>
          <w:b/>
          <w:color w:val="000000"/>
          <w:sz w:val="22"/>
          <w:szCs w:val="22"/>
        </w:rPr>
        <w:t>DA APRESENTAÇÃO DAS PROPOSTAS</w:t>
      </w:r>
    </w:p>
    <w:p>
      <w:pPr>
        <w:pStyle w:val="ListParagraph"/>
        <w:numPr>
          <w:ilvl w:val="1"/>
          <w:numId w:val="2"/>
        </w:numPr>
        <w:suppressAutoHyphens w:val="false"/>
        <w:spacing w:lineRule="auto" w:line="264" w:before="120" w:after="0"/>
        <w:ind w:left="567" w:hanging="567"/>
        <w:jc w:val="both"/>
        <w:rPr>
          <w:shd w:fill="FFFF00" w:val="clear"/>
        </w:rPr>
      </w:pPr>
      <w:r>
        <w:rPr>
          <w:rFonts w:ascii="Times New Roman" w:hAnsi="Times New Roman"/>
          <w:color w:val="000000"/>
          <w:sz w:val="22"/>
          <w:szCs w:val="22"/>
        </w:rPr>
        <w:t>Os proponentes deverão encaminhar as propostas contendo o Formulário de Apresentação de Projeto – Anexo I, em envelopes fechados, opacos e indevassáveis, obrigatoriamente identificados, via correios, mediante postagem com A.R. (Aviso de Recebimento), ou entregar pessoalmente na sede do Conselho, na seguinte forma:</w:t>
      </w:r>
    </w:p>
    <w:p>
      <w:pPr>
        <w:pStyle w:val="ListParagraph"/>
        <w:suppressAutoHyphens w:val="false"/>
        <w:spacing w:lineRule="auto" w:line="264" w:before="120" w:after="0"/>
        <w:ind w:left="567" w:hanging="567"/>
        <w:jc w:val="both"/>
        <w:rPr>
          <w:shd w:fill="FFFF00" w:val="clear"/>
        </w:rPr>
      </w:pPr>
      <w:r>
        <w:rPr/>
        <mc:AlternateContent>
          <mc:Choice Requires="wps">
            <w:drawing>
              <wp:anchor behindDoc="0" distT="33655" distB="0" distL="147955" distR="112395" simplePos="0" locked="0" layoutInCell="0" allowOverlap="1" relativeHeight="27" wp14:anchorId="3556CF73">
                <wp:simplePos x="0" y="0"/>
                <wp:positionH relativeFrom="column">
                  <wp:posOffset>13970</wp:posOffset>
                </wp:positionH>
                <wp:positionV relativeFrom="paragraph">
                  <wp:posOffset>797560</wp:posOffset>
                </wp:positionV>
                <wp:extent cx="5655310" cy="1643380"/>
                <wp:effectExtent l="0" t="0" r="13335" b="12065"/>
                <wp:wrapTopAndBottom/>
                <wp:docPr id="1" name="Caixa de texto 1"/>
                <a:graphic xmlns:a="http://schemas.openxmlformats.org/drawingml/2006/main">
                  <a:graphicData uri="http://schemas.microsoft.com/office/word/2010/wordprocessingShape">
                    <wps:wsp>
                      <wps:cNvSpPr/>
                      <wps:spPr>
                        <a:xfrm>
                          <a:off x="0" y="0"/>
                          <a:ext cx="5654520" cy="164268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1" path="m0,0l-2147483645,0l-2147483645,-2147483646l0,-2147483646xe" stroked="t" style="position:absolute;margin-left:1.1pt;margin-top:62.8pt;width:445.2pt;height:129.3pt;mso-wrap-style:square;v-text-anchor:top" wp14:anchorId="3556CF73">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uppressAutoHyphens w:val="false"/>
        <w:spacing w:lineRule="auto" w:line="264" w:before="120" w:after="0"/>
        <w:ind w:left="567" w:hanging="567"/>
        <w:jc w:val="both"/>
        <w:rPr>
          <w:shd w:fill="FFFF00" w:val="clear"/>
        </w:rPr>
      </w:pPr>
      <w:r>
        <w:rPr/>
      </w:r>
    </w:p>
    <w:p>
      <w:pPr>
        <w:pStyle w:val="ListParagraph"/>
        <w:numPr>
          <w:ilvl w:val="1"/>
          <w:numId w:val="2"/>
        </w:numPr>
        <w:suppressAutoHyphens w:val="false"/>
        <w:spacing w:lineRule="auto" w:line="264" w:before="120" w:after="0"/>
        <w:ind w:left="567" w:hanging="567"/>
        <w:jc w:val="both"/>
        <w:rPr>
          <w:color w:val="000000"/>
        </w:rPr>
      </w:pPr>
      <w:r>
        <w:rPr>
          <w:rFonts w:ascii="Times New Roman" w:hAnsi="Times New Roman"/>
          <w:color w:val="000000"/>
          <w:sz w:val="22"/>
          <w:szCs w:val="22"/>
        </w:rPr>
        <w:t>Não será aceita outra forma de apresentação dos envelopes além da descrita no item 7.1,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color w:val="000000"/>
          <w:sz w:val="22"/>
          <w:szCs w:val="22"/>
        </w:rPr>
      </w:pPr>
      <w:r>
        <w:rPr>
          <w:rFonts w:ascii="Times New Roman" w:hAnsi="Times New Roman"/>
          <w:color w:val="000000"/>
          <w:sz w:val="22"/>
          <w:szCs w:val="22"/>
        </w:rPr>
        <w:t>Será considerado pelo CAU/PR, para efeito de comprovação da data de entrega do projeto na sede do Conselho, a data de recebimento conforme constará no A.R. dos Correios, ou a data do protocolo de entrega para os projetos entregues diretamente na sede do CAU/PR.</w:t>
      </w:r>
    </w:p>
    <w:p>
      <w:pPr>
        <w:pStyle w:val="ListParagraph"/>
        <w:numPr>
          <w:ilvl w:val="1"/>
          <w:numId w:val="2"/>
        </w:numPr>
        <w:suppressAutoHyphens w:val="false"/>
        <w:spacing w:lineRule="auto" w:line="264" w:before="120" w:after="0"/>
        <w:ind w:left="567" w:hanging="567"/>
        <w:jc w:val="both"/>
        <w:rPr>
          <w:rFonts w:ascii="Times New Roman" w:hAnsi="Times New Roman"/>
          <w:color w:val="000000"/>
          <w:sz w:val="22"/>
          <w:szCs w:val="22"/>
        </w:rPr>
      </w:pPr>
      <w:r>
        <w:rPr>
          <w:rFonts w:ascii="Times New Roman" w:hAnsi="Times New Roman"/>
          <w:color w:val="000000"/>
          <w:sz w:val="22"/>
          <w:szCs w:val="22"/>
        </w:rPr>
        <w:t xml:space="preserve">A data limite para a entrega das Propostas será dia </w:t>
      </w:r>
      <w:r>
        <w:rPr>
          <w:rFonts w:ascii="Times New Roman" w:hAnsi="Times New Roman"/>
          <w:b/>
          <w:bCs/>
          <w:color w:val="000000"/>
          <w:sz w:val="22"/>
          <w:szCs w:val="22"/>
          <w:shd w:fill="auto" w:val="clear"/>
        </w:rPr>
        <w:t>02/</w:t>
      </w:r>
      <w:r>
        <w:rPr>
          <w:rFonts w:ascii="Times New Roman" w:hAnsi="Times New Roman"/>
          <w:b/>
          <w:color w:val="000000"/>
          <w:sz w:val="22"/>
          <w:szCs w:val="22"/>
          <w:shd w:fill="auto" w:val="clear"/>
        </w:rPr>
        <w:t>11/2021, até às 15h59</w:t>
      </w:r>
      <w:r>
        <w:rPr>
          <w:rFonts w:ascii="Times New Roman" w:hAnsi="Times New Roman"/>
          <w:color w:val="000000"/>
          <w:sz w:val="22"/>
          <w:szCs w:val="22"/>
          <w:shd w:fill="auto" w:val="clear"/>
        </w:rPr>
        <w:t>.</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encaminhada.</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Para os envelopes que forem postados via Correios, serão considerados aqueles que tiverem sido recebidos até a data e horário limites estabelecidos no item 7.4.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em seu original, preenchido com clareza, sem emendas, rasuras, acréscimos ou entrelinhas, devidamente datado e assinado pelo representante legal da OSC.</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Responsável Técnico do projeto no Formulário de Apresentação de Projeto (Anexo I).</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É 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pPr>
        <w:pStyle w:val="Normal"/>
        <w:spacing w:before="120" w:after="12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COMISSÃO DE SELEÇÃO E DO PROCESSO DE SELEÇÃO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processo de seleção abrangerá a avaliação das propostas, a divulgação e a homologação dos resultados.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 nomeada para esse fim, através de Portaria deste Conselho, nos termos do Decreto nº 8.726/2016.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terá caráter eliminatório e classificatório.</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 xml:space="preserve">Será eliminada a </w:t>
      </w:r>
      <w:r>
        <w:rPr>
          <w:rFonts w:ascii="Times New Roman" w:hAnsi="Times New Roman"/>
          <w:color w:val="000000"/>
          <w:sz w:val="22"/>
          <w:szCs w:val="22"/>
        </w:rPr>
        <w:t>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que</w:t>
      </w:r>
      <w:r>
        <w:rPr>
          <w:rFonts w:ascii="Times New Roman" w:hAnsi="Times New Roman"/>
          <w:color w:val="FF0000"/>
          <w:sz w:val="22"/>
          <w:szCs w:val="22"/>
        </w:rPr>
        <w:t xml:space="preserve"> </w:t>
      </w:r>
      <w:r>
        <w:rPr>
          <w:rFonts w:ascii="Times New Roman" w:hAnsi="Times New Roman"/>
          <w:sz w:val="22"/>
          <w:szCs w:val="22"/>
        </w:rPr>
        <w:t>esteja em desacordo com os termos do edital (art. 16, §2º, do Decreto nº 8.726, de 2016) ou que não contenha os requisitos constantes da Deliberação Plenária CAU/PR N° 0099-08/2019, de 27 de agosto de 2019</w:t>
      </w:r>
      <w:r>
        <w:rPr>
          <w:rFonts w:ascii="Times New Roman" w:hAnsi="Times New Roman"/>
          <w:color w:val="FF0000"/>
          <w:sz w:val="22"/>
          <w:szCs w:val="22"/>
        </w:rPr>
        <w:t>.</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A avaliação classificatória dos projetos será realizada de acordo com os seguintes critérios de julgamento:</w:t>
      </w:r>
    </w:p>
    <w:p>
      <w:pPr>
        <w:pStyle w:val="ListParagraph"/>
        <w:suppressAutoHyphens w:val="false"/>
        <w:spacing w:before="121" w:after="0"/>
        <w:ind w:left="1134" w:right="106" w:hanging="0"/>
        <w:jc w:val="both"/>
        <w:rPr>
          <w:rFonts w:ascii="Times New Roman" w:hAnsi="Times New Roman"/>
          <w:sz w:val="22"/>
          <w:szCs w:val="22"/>
        </w:rPr>
      </w:pPr>
      <w:r>
        <w:rPr>
          <w:rFonts w:ascii="Times New Roman" w:hAnsi="Times New Roman"/>
          <w:sz w:val="22"/>
          <w:szCs w:val="22"/>
        </w:rPr>
      </w:r>
    </w:p>
    <w:tbl>
      <w:tblPr>
        <w:tblStyle w:val="TableNormal"/>
        <w:tblW w:w="9653"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694"/>
        <w:gridCol w:w="5186"/>
        <w:gridCol w:w="1773"/>
      </w:tblGrid>
      <w:tr>
        <w:trPr>
          <w:trHeight w:val="94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CRITÉRIOS</w:t>
            </w:r>
            <w:r>
              <w:rPr>
                <w:b/>
                <w:spacing w:val="-2"/>
                <w:kern w:val="0"/>
                <w:szCs w:val="22"/>
                <w:lang w:val="en-US"/>
              </w:rPr>
              <w:t xml:space="preserve"> </w:t>
            </w:r>
            <w:r>
              <w:rPr>
                <w:b/>
                <w:kern w:val="0"/>
                <w:szCs w:val="22"/>
                <w:lang w:val="en-US"/>
              </w:rPr>
              <w:t>DE JULGAMENTO</w:t>
            </w:r>
          </w:p>
        </w:tc>
        <w:tc>
          <w:tcPr>
            <w:tcW w:w="51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METODOLOGIA DE PONTUAÇÃO</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 w:val="20"/>
                <w:szCs w:val="22"/>
                <w:lang w:val="en-US"/>
              </w:rPr>
              <w:t>PONTUAÇÃO MÁXIMA POR ITEM</w:t>
            </w:r>
          </w:p>
        </w:tc>
      </w:tr>
      <w:tr>
        <w:trPr>
          <w:trHeight w:val="1951"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50" w:hanging="0"/>
              <w:jc w:val="left"/>
              <w:rPr>
                <w:szCs w:val="22"/>
              </w:rPr>
            </w:pPr>
            <w:r>
              <w:rPr>
                <w:kern w:val="0"/>
                <w:szCs w:val="22"/>
                <w:lang w:val="en-US"/>
              </w:rPr>
              <w:t>(A)  Informações sobre ações a serem executadas, metas a serem atingidas, indicadores que aferirão o cumprimento das metas e prazos para a execução das ações e para o cumprimento das metas, assim como clareza e coerência na apresentação do projeto</w:t>
            </w:r>
          </w:p>
        </w:tc>
        <w:tc>
          <w:tcPr>
            <w:tcW w:w="51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pleno de atendimento (2,0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185" w:leader="none"/>
              </w:tabs>
              <w:spacing w:before="60" w:after="60"/>
              <w:ind w:left="0" w:hanging="0"/>
              <w:jc w:val="left"/>
              <w:rPr>
                <w:szCs w:val="22"/>
              </w:rPr>
            </w:pPr>
            <w:r>
              <w:rPr>
                <w:kern w:val="0"/>
                <w:szCs w:val="22"/>
                <w:lang w:val="en-US"/>
              </w:rPr>
              <w:t>Grau satisfatório de atendimento (1,0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250" w:leader="none"/>
              </w:tabs>
              <w:spacing w:before="60" w:after="60"/>
              <w:ind w:left="57" w:right="140" w:hanging="0"/>
              <w:jc w:val="left"/>
              <w:rPr>
                <w:szCs w:val="22"/>
              </w:rPr>
            </w:pPr>
            <w:r>
              <w:rPr>
                <w:kern w:val="0"/>
                <w:szCs w:val="22"/>
                <w:lang w:val="en-US"/>
              </w:rPr>
              <w:t>O não atendimento ou o atendimento insatisfatório (0,0).</w:t>
            </w:r>
          </w:p>
          <w:p>
            <w:pPr>
              <w:pStyle w:val="TableParagraph"/>
              <w:widowControl w:val="false"/>
              <w:spacing w:before="60" w:after="60"/>
              <w:ind w:left="57" w:right="140" w:hanging="0"/>
              <w:jc w:val="left"/>
              <w:rPr>
                <w:szCs w:val="22"/>
              </w:rPr>
            </w:pPr>
            <w:r>
              <w:rPr>
                <w:kern w:val="0"/>
                <w:szCs w:val="22"/>
                <w:lang w:val="en-US"/>
              </w:rPr>
              <w:t>OBS.: A atribuição de nota “zero” neste critério implica eliminação da proposta, por força do art. 16, §2º, incisos II e III, do Decreto nº 8.726, de 2016.</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222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18" w:hanging="0"/>
              <w:jc w:val="left"/>
              <w:rPr>
                <w:szCs w:val="22"/>
              </w:rPr>
            </w:pPr>
            <w:r>
              <w:rPr>
                <w:kern w:val="0"/>
                <w:szCs w:val="22"/>
                <w:lang w:val="en-US"/>
              </w:rPr>
              <w:t>(B) Descrição da realidade objeto da parceria e do nexo entre essa realidade e o projeto proposto</w:t>
            </w:r>
          </w:p>
          <w:p>
            <w:pPr>
              <w:pStyle w:val="TableParagraph"/>
              <w:widowControl w:val="false"/>
              <w:spacing w:before="60" w:after="60"/>
              <w:ind w:left="146" w:right="292" w:hanging="0"/>
              <w:jc w:val="left"/>
              <w:rPr>
                <w:szCs w:val="22"/>
              </w:rPr>
            </w:pPr>
            <w:r>
              <w:rPr>
                <w:szCs w:val="22"/>
              </w:rPr>
            </w:r>
          </w:p>
          <w:p>
            <w:pPr>
              <w:pStyle w:val="TableParagraph"/>
              <w:widowControl w:val="false"/>
              <w:spacing w:before="60" w:after="60"/>
              <w:ind w:left="146" w:right="292" w:hanging="0"/>
              <w:jc w:val="left"/>
              <w:rPr>
                <w:szCs w:val="22"/>
              </w:rPr>
            </w:pPr>
            <w:r>
              <w:rPr>
                <w:szCs w:val="22"/>
              </w:rPr>
            </w:r>
          </w:p>
        </w:tc>
        <w:tc>
          <w:tcPr>
            <w:tcW w:w="51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5"/>
              </w:numPr>
              <w:tabs>
                <w:tab w:val="clear" w:pos="708"/>
                <w:tab w:val="left" w:pos="250" w:leader="none"/>
              </w:tabs>
              <w:spacing w:before="60" w:after="60"/>
              <w:ind w:left="57" w:right="140" w:hanging="128"/>
              <w:jc w:val="left"/>
              <w:rPr>
                <w:szCs w:val="22"/>
              </w:rPr>
            </w:pPr>
            <w:r>
              <w:rPr>
                <w:kern w:val="0"/>
                <w:szCs w:val="22"/>
                <w:lang w:val="en-US"/>
              </w:rPr>
              <w:t>O não atendimento ou o atendimento insatisfatório (0,0).</w:t>
            </w:r>
          </w:p>
          <w:p>
            <w:pPr>
              <w:pStyle w:val="TableParagraph"/>
              <w:widowControl w:val="false"/>
              <w:spacing w:before="60" w:after="60"/>
              <w:ind w:left="57" w:right="136" w:hanging="0"/>
              <w:jc w:val="left"/>
              <w:rPr>
                <w:szCs w:val="22"/>
              </w:rPr>
            </w:pPr>
            <w:r>
              <w:rPr>
                <w:kern w:val="0"/>
                <w:szCs w:val="22"/>
                <w:lang w:val="en-US"/>
              </w:rPr>
              <w:t>OBS.: A atribuição de nota “zero” neste critério implica eliminação da proposta, por força do art. 16, §2º, inciso I, do Decreto nº 8.726, de 2016.</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85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92" w:hanging="0"/>
              <w:jc w:val="left"/>
              <w:rPr>
                <w:szCs w:val="22"/>
              </w:rPr>
            </w:pPr>
            <w:r>
              <w:rPr>
                <w:kern w:val="0"/>
                <w:szCs w:val="22"/>
                <w:lang w:val="en-US"/>
              </w:rPr>
              <w:t>(C) Pertinência do projeto e relevância para o desenvolvimento da arquitetura e urbanismo</w:t>
            </w:r>
          </w:p>
          <w:p>
            <w:pPr>
              <w:pStyle w:val="TableParagraph"/>
              <w:widowControl w:val="false"/>
              <w:spacing w:before="60" w:after="60"/>
              <w:ind w:left="146" w:right="292" w:hanging="0"/>
              <w:jc w:val="left"/>
              <w:rPr>
                <w:szCs w:val="22"/>
              </w:rPr>
            </w:pPr>
            <w:r>
              <w:rPr>
                <w:szCs w:val="22"/>
              </w:rPr>
            </w:r>
          </w:p>
        </w:tc>
        <w:tc>
          <w:tcPr>
            <w:tcW w:w="51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szCs w:val="22"/>
              </w:rPr>
            </w:pPr>
            <w:r>
              <w:rPr>
                <w:kern w:val="0"/>
                <w:szCs w:val="22"/>
                <w:lang w:val="en-US"/>
              </w:rPr>
              <w:t>- Grau pleno da descrição (2,0)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Grau satisfatório da descrição</w:t>
            </w:r>
            <w:r>
              <w:rPr>
                <w:spacing w:val="-2"/>
                <w:kern w:val="0"/>
                <w:szCs w:val="22"/>
                <w:lang w:val="en-US"/>
              </w:rPr>
              <w:t xml:space="preserve"> </w:t>
            </w:r>
            <w:r>
              <w:rPr>
                <w:kern w:val="0"/>
                <w:szCs w:val="22"/>
                <w:lang w:val="en-US"/>
              </w:rPr>
              <w:t>(1,0)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Não atendimento ou o atendimento</w:t>
            </w:r>
            <w:r>
              <w:rPr>
                <w:spacing w:val="45"/>
                <w:kern w:val="0"/>
                <w:szCs w:val="22"/>
                <w:lang w:val="en-US"/>
              </w:rPr>
              <w:t xml:space="preserve"> </w:t>
            </w:r>
            <w:r>
              <w:rPr>
                <w:kern w:val="0"/>
                <w:szCs w:val="22"/>
                <w:lang w:val="en-US"/>
              </w:rPr>
              <w:t>insatisfatório (0,0)</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2,0</w:t>
            </w:r>
          </w:p>
        </w:tc>
      </w:tr>
      <w:tr>
        <w:trPr>
          <w:trHeight w:val="185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92" w:hanging="0"/>
              <w:jc w:val="left"/>
              <w:rPr>
                <w:szCs w:val="22"/>
              </w:rPr>
            </w:pPr>
            <w:r>
              <w:rPr>
                <w:szCs w:val="22"/>
              </w:rPr>
            </w:r>
          </w:p>
          <w:p>
            <w:pPr>
              <w:pStyle w:val="TableParagraph"/>
              <w:widowControl w:val="false"/>
              <w:spacing w:before="60" w:after="60"/>
              <w:ind w:left="146" w:right="18" w:hanging="0"/>
              <w:jc w:val="left"/>
              <w:rPr>
                <w:szCs w:val="22"/>
              </w:rPr>
            </w:pPr>
            <w:r>
              <w:rPr>
                <w:kern w:val="0"/>
                <w:szCs w:val="22"/>
                <w:lang w:val="en-US"/>
              </w:rPr>
              <w:t>(D) Experiência comprovada dos membros da equipe proponente para com a temática em: projetos de habitação de interesse social; atuação professional em comunidades vulneráveis; experiência em execução de obras</w:t>
            </w:r>
          </w:p>
          <w:p>
            <w:pPr>
              <w:pStyle w:val="TableParagraph"/>
              <w:widowControl w:val="false"/>
              <w:spacing w:before="60" w:after="60"/>
              <w:ind w:left="146" w:right="18" w:hanging="0"/>
              <w:jc w:val="left"/>
              <w:rPr>
                <w:szCs w:val="22"/>
              </w:rPr>
            </w:pPr>
            <w:r>
              <w:rPr>
                <w:szCs w:val="22"/>
              </w:rPr>
            </w:r>
          </w:p>
          <w:p>
            <w:pPr>
              <w:pStyle w:val="TableParagraph"/>
              <w:widowControl w:val="false"/>
              <w:spacing w:before="60" w:after="60"/>
              <w:ind w:left="146" w:right="18" w:hanging="0"/>
              <w:jc w:val="left"/>
              <w:rPr>
                <w:szCs w:val="22"/>
              </w:rPr>
            </w:pPr>
            <w:r>
              <w:rPr>
                <w:szCs w:val="22"/>
              </w:rPr>
            </w:r>
          </w:p>
          <w:p>
            <w:pPr>
              <w:pStyle w:val="TableParagraph"/>
              <w:widowControl w:val="false"/>
              <w:spacing w:before="60" w:after="60"/>
              <w:ind w:left="146" w:right="18" w:hanging="0"/>
              <w:jc w:val="left"/>
              <w:rPr>
                <w:szCs w:val="22"/>
              </w:rPr>
            </w:pPr>
            <w:r>
              <w:rPr>
                <w:szCs w:val="22"/>
              </w:rPr>
            </w:r>
          </w:p>
        </w:tc>
        <w:tc>
          <w:tcPr>
            <w:tcW w:w="51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5"/>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5"/>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spacing w:before="60" w:after="60"/>
              <w:ind w:left="57" w:right="139" w:hanging="0"/>
              <w:jc w:val="left"/>
              <w:rPr>
                <w:szCs w:val="22"/>
              </w:rPr>
            </w:pPr>
            <w:r>
              <w:rPr>
                <w:szCs w:val="22"/>
              </w:rPr>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106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318" w:hanging="0"/>
              <w:jc w:val="left"/>
              <w:rPr>
                <w:szCs w:val="22"/>
              </w:rPr>
            </w:pPr>
            <w:r>
              <w:rPr>
                <w:kern w:val="0"/>
                <w:szCs w:val="22"/>
                <w:lang w:val="en-US"/>
              </w:rPr>
              <w:t>(E) Experiência comprovada dos membros da equipe proponente em atividades de extensão e pesquisa em habitação de interesse social ou trabalhos em comunidades vulneráveis sob o aspect socioambiental; experiência na concepção ou em ministrar cursos e/ ou eventos relacionados a habitação de interesse social ou atuação professional em comunidades vulneráveis</w:t>
            </w:r>
          </w:p>
        </w:tc>
        <w:tc>
          <w:tcPr>
            <w:tcW w:w="51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quatro experiências profissionais</w:t>
            </w:r>
            <w:r>
              <w:rPr>
                <w:spacing w:val="-3"/>
                <w:kern w:val="0"/>
                <w:szCs w:val="22"/>
                <w:lang w:val="en-US"/>
              </w:rPr>
              <w:t xml:space="preserve"> </w:t>
            </w:r>
            <w:r>
              <w:rPr>
                <w:kern w:val="0"/>
                <w:szCs w:val="22"/>
                <w:lang w:val="en-US"/>
              </w:rPr>
              <w:t>(1,5)</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três experiências profissionais (1,0)</w:t>
            </w:r>
          </w:p>
          <w:p>
            <w:pPr>
              <w:pStyle w:val="TableParagraph"/>
              <w:widowControl w:val="false"/>
              <w:numPr>
                <w:ilvl w:val="0"/>
                <w:numId w:val="8"/>
              </w:numPr>
              <w:tabs>
                <w:tab w:val="clear" w:pos="708"/>
                <w:tab w:val="left" w:pos="185" w:leader="none"/>
              </w:tabs>
              <w:spacing w:before="60" w:after="60"/>
              <w:jc w:val="left"/>
              <w:rPr>
                <w:szCs w:val="22"/>
              </w:rPr>
            </w:pPr>
            <w:r>
              <w:rPr>
                <w:kern w:val="0"/>
                <w:szCs w:val="22"/>
                <w:lang w:val="en-US"/>
              </w:rPr>
              <w:t>Até duas experiências profissionais (0,5)</w:t>
            </w:r>
          </w:p>
          <w:p>
            <w:pPr>
              <w:pStyle w:val="TableParagraph"/>
              <w:widowControl w:val="false"/>
              <w:numPr>
                <w:ilvl w:val="0"/>
                <w:numId w:val="8"/>
              </w:numPr>
              <w:tabs>
                <w:tab w:val="clear" w:pos="708"/>
                <w:tab w:val="left" w:pos="207" w:leader="none"/>
              </w:tabs>
              <w:spacing w:before="60" w:after="60"/>
              <w:ind w:left="57" w:right="140" w:hanging="128"/>
              <w:jc w:val="left"/>
              <w:rPr>
                <w:szCs w:val="22"/>
              </w:rPr>
            </w:pPr>
            <w:r>
              <w:rPr>
                <w:kern w:val="0"/>
                <w:szCs w:val="22"/>
                <w:lang w:val="en-US"/>
              </w:rPr>
              <w:t>Não atendimento ou o atendimento insatisfatório (0,0).</w:t>
            </w:r>
          </w:p>
          <w:p>
            <w:pPr>
              <w:pStyle w:val="TableParagraph"/>
              <w:widowControl w:val="false"/>
              <w:numPr>
                <w:ilvl w:val="0"/>
                <w:numId w:val="8"/>
              </w:numPr>
              <w:tabs>
                <w:tab w:val="clear" w:pos="708"/>
                <w:tab w:val="left" w:pos="250" w:leader="none"/>
              </w:tabs>
              <w:spacing w:before="60" w:after="60"/>
              <w:ind w:left="57" w:right="140" w:hanging="128"/>
              <w:jc w:val="left"/>
              <w:rPr>
                <w:szCs w:val="22"/>
              </w:rPr>
            </w:pPr>
            <w:r>
              <w:rPr>
                <w:szCs w:val="22"/>
              </w:rPr>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1,5</w:t>
            </w:r>
          </w:p>
        </w:tc>
      </w:tr>
      <w:tr>
        <w:trPr>
          <w:trHeight w:val="78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65" w:hanging="0"/>
              <w:jc w:val="left"/>
              <w:rPr>
                <w:szCs w:val="22"/>
              </w:rPr>
            </w:pPr>
            <w:r>
              <w:rPr>
                <w:kern w:val="0"/>
                <w:szCs w:val="22"/>
                <w:lang w:val="en-US"/>
              </w:rPr>
              <w:t>(F) Capacidade da equipe proponente em estabelecer parcerias com entes públicos ou privados para obtenção de recursos financeiros ou doações de material de construção para eventual execução de obras civís ou complementações que se façam necessárias às propostas</w:t>
            </w:r>
          </w:p>
        </w:tc>
        <w:tc>
          <w:tcPr>
            <w:tcW w:w="51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pleno de atendimento (1,0</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185" w:leader="none"/>
              </w:tabs>
              <w:spacing w:before="60" w:after="60"/>
              <w:jc w:val="left"/>
              <w:rPr>
                <w:szCs w:val="22"/>
              </w:rPr>
            </w:pPr>
            <w:r>
              <w:rPr>
                <w:kern w:val="0"/>
                <w:szCs w:val="22"/>
                <w:lang w:val="en-US"/>
              </w:rPr>
              <w:t>Grau satisfatório de atendimento (0,5</w:t>
            </w:r>
            <w:r>
              <w:rPr>
                <w:spacing w:val="-3"/>
                <w:kern w:val="0"/>
                <w:szCs w:val="22"/>
                <w:lang w:val="en-US"/>
              </w:rPr>
              <w:t xml:space="preserve"> </w:t>
            </w:r>
            <w:r>
              <w:rPr>
                <w:kern w:val="0"/>
                <w:szCs w:val="22"/>
                <w:lang w:val="en-US"/>
              </w:rPr>
              <w:t>ponto)</w:t>
            </w:r>
          </w:p>
          <w:p>
            <w:pPr>
              <w:pStyle w:val="TableParagraph"/>
              <w:widowControl w:val="false"/>
              <w:numPr>
                <w:ilvl w:val="0"/>
                <w:numId w:val="7"/>
              </w:numPr>
              <w:tabs>
                <w:tab w:val="clear" w:pos="708"/>
                <w:tab w:val="left" w:pos="250" w:leader="none"/>
              </w:tabs>
              <w:spacing w:before="60" w:after="60"/>
              <w:ind w:left="184" w:right="140" w:hanging="128"/>
              <w:jc w:val="left"/>
              <w:rPr>
                <w:szCs w:val="22"/>
              </w:rPr>
            </w:pPr>
            <w:r>
              <w:rPr>
                <w:kern w:val="0"/>
                <w:szCs w:val="22"/>
                <w:lang w:val="en-US"/>
              </w:rPr>
              <w:t>O não atendimento ou o atendimento insatisfatório (0,0).</w:t>
            </w:r>
          </w:p>
          <w:p>
            <w:pPr>
              <w:pStyle w:val="TableParagraph"/>
              <w:widowControl w:val="false"/>
              <w:numPr>
                <w:ilvl w:val="0"/>
                <w:numId w:val="7"/>
              </w:numPr>
              <w:spacing w:before="60" w:after="60"/>
              <w:jc w:val="left"/>
              <w:rPr>
                <w:szCs w:val="22"/>
              </w:rPr>
            </w:pPr>
            <w:r>
              <w:rPr>
                <w:szCs w:val="22"/>
              </w:rPr>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rPr>
            </w:pPr>
            <w:r>
              <w:rPr>
                <w:kern w:val="0"/>
                <w:szCs w:val="22"/>
                <w:lang w:val="en-US"/>
              </w:rPr>
              <w:t>1,0</w:t>
            </w:r>
          </w:p>
        </w:tc>
      </w:tr>
      <w:tr>
        <w:trPr>
          <w:trHeight w:val="376" w:hRule="atLeast"/>
        </w:trPr>
        <w:tc>
          <w:tcPr>
            <w:tcW w:w="788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b/>
                <w:b/>
                <w:szCs w:val="22"/>
              </w:rPr>
            </w:pPr>
            <w:r>
              <w:rPr>
                <w:b/>
                <w:kern w:val="0"/>
                <w:szCs w:val="22"/>
                <w:lang w:val="en-US"/>
              </w:rPr>
              <w:t>Pontuação Máxima Global</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rPr>
            </w:pPr>
            <w:r>
              <w:rPr>
                <w:b/>
                <w:kern w:val="0"/>
                <w:szCs w:val="22"/>
                <w:lang w:val="en-US"/>
              </w:rPr>
              <w:t>10,0</w:t>
            </w:r>
          </w:p>
        </w:tc>
      </w:tr>
    </w:tbl>
    <w:p>
      <w:pPr>
        <w:pStyle w:val="ListParagraph"/>
        <w:numPr>
          <w:ilvl w:val="1"/>
          <w:numId w:val="2"/>
        </w:numPr>
        <w:suppressAutoHyphens w:val="false"/>
        <w:spacing w:before="120" w:after="0"/>
        <w:ind w:left="567" w:hanging="567"/>
        <w:jc w:val="both"/>
        <w:rPr/>
      </w:pPr>
      <w:r>
        <w:rPr>
          <w:rFonts w:ascii="Times New Roman" w:hAnsi="Times New Roman"/>
          <w:sz w:val="22"/>
          <w:szCs w:val="22"/>
        </w:rPr>
        <w:t>O não atendimento a um dos critérios dos itens C, D, E e F não exclui a equipe proponente e não implica na eliminação da proposta;</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 proponente deve considerar e explicitar as condições de consolidação e segurança de posse da população beneficiária;</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Não serão aceitos projetos situados em áreas que apresentem riscos ambientais, de vida e/ ou de perda material da população beneficiária.</w:t>
      </w:r>
    </w:p>
    <w:p>
      <w:pPr>
        <w:pStyle w:val="ListParagraph"/>
        <w:numPr>
          <w:ilvl w:val="1"/>
          <w:numId w:val="2"/>
        </w:numPr>
        <w:suppressAutoHyphens w:val="false"/>
        <w:spacing w:before="120" w:after="0"/>
        <w:ind w:left="567" w:hanging="567"/>
        <w:jc w:val="both"/>
        <w:rPr/>
      </w:pPr>
      <w:r>
        <w:rPr>
          <w:rFonts w:ascii="Times New Roman" w:hAnsi="Times New Roman"/>
          <w:sz w:val="22"/>
          <w:szCs w:val="22"/>
        </w:rPr>
        <w:t>A proponente deve apresentar cronograma físico-financeiro referente à realização das atividades;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Serão desclassificados nesta etapa, as propostas:</w:t>
      </w:r>
    </w:p>
    <w:p>
      <w:pPr>
        <w:pStyle w:val="ListParagraph"/>
        <w:numPr>
          <w:ilvl w:val="0"/>
          <w:numId w:val="9"/>
        </w:numPr>
        <w:tabs>
          <w:tab w:val="clear" w:pos="708"/>
          <w:tab w:val="left" w:pos="732" w:leader="none"/>
        </w:tabs>
        <w:suppressAutoHyphens w:val="false"/>
        <w:ind w:left="1134" w:hanging="567"/>
        <w:jc w:val="both"/>
        <w:rPr>
          <w:rFonts w:ascii="Times New Roman" w:hAnsi="Times New Roman"/>
          <w:sz w:val="22"/>
          <w:szCs w:val="22"/>
        </w:rPr>
      </w:pPr>
      <w:r>
        <w:rPr>
          <w:rFonts w:ascii="Times New Roman" w:hAnsi="Times New Roman"/>
          <w:sz w:val="22"/>
          <w:szCs w:val="22"/>
        </w:rPr>
        <w:t>cujas pontuações globais sejam inferiores a 6,0 (seis)</w:t>
      </w:r>
      <w:r>
        <w:rPr>
          <w:rFonts w:ascii="Times New Roman" w:hAnsi="Times New Roman"/>
          <w:spacing w:val="-11"/>
          <w:sz w:val="22"/>
          <w:szCs w:val="22"/>
        </w:rPr>
        <w:t xml:space="preserve"> </w:t>
      </w:r>
      <w:r>
        <w:rPr>
          <w:rFonts w:ascii="Times New Roman" w:hAnsi="Times New Roman"/>
          <w:sz w:val="22"/>
          <w:szCs w:val="22"/>
        </w:rPr>
        <w:t>pontos.</w:t>
      </w:r>
    </w:p>
    <w:p>
      <w:pPr>
        <w:pStyle w:val="ListParagraph"/>
        <w:numPr>
          <w:ilvl w:val="0"/>
          <w:numId w:val="9"/>
        </w:numPr>
        <w:tabs>
          <w:tab w:val="clear" w:pos="708"/>
          <w:tab w:val="left" w:pos="758" w:leader="none"/>
        </w:tabs>
        <w:suppressAutoHyphens w:val="false"/>
        <w:ind w:left="1134" w:hanging="567"/>
        <w:jc w:val="both"/>
        <w:rPr>
          <w:rFonts w:ascii="Times New Roman" w:hAnsi="Times New Roman"/>
          <w:sz w:val="22"/>
          <w:szCs w:val="22"/>
        </w:rPr>
      </w:pPr>
      <w:r>
        <w:rPr>
          <w:rFonts w:ascii="Times New Roman" w:hAnsi="Times New Roman"/>
          <w:sz w:val="22"/>
          <w:szCs w:val="22"/>
        </w:rPr>
        <w:t>que recebam nota “zero” nos critérios de julgamento (A) e (B);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 2016);</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pPr>
        <w:pStyle w:val="ListParagraph"/>
        <w:suppressAutoHyphens w:val="false"/>
        <w:spacing w:before="121" w:after="0"/>
        <w:ind w:left="567" w:right="106" w:hanging="0"/>
        <w:jc w:val="both"/>
        <w:rPr>
          <w:rFonts w:ascii="Times New Roman" w:hAnsi="Times New Roman"/>
          <w:b/>
          <w:b/>
          <w:sz w:val="22"/>
          <w:szCs w:val="22"/>
          <w:u w:val="single"/>
        </w:rPr>
      </w:pPr>
      <w:r>
        <w:rPr>
          <w:rFonts w:ascii="Times New Roman" w:hAnsi="Times New Roman"/>
          <w:b/>
          <w:sz w:val="22"/>
          <w:szCs w:val="22"/>
          <w:u w:val="single"/>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RECURSO CONTRA A SELEÇÃO DAS PROPOSTAS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divulgará o resultado preliminar do processo de seleção no sítio eletrônico do CAU/PR.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pPr>
        <w:pStyle w:val="ListParagraph"/>
        <w:numPr>
          <w:ilvl w:val="2"/>
          <w:numId w:val="2"/>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recurso deverá ser apresentado em envelope fechado, opaco e indevassável, obrigatoriamente identificados, via correios, mediante postagem com A.R. (Aviso de Recebimento), ou entregue pessoalmente na sede do Conselho, na seguinte forma:</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mc:AlternateContent>
          <mc:Choice Requires="wps">
            <w:drawing>
              <wp:anchor behindDoc="0" distT="33655" distB="0" distL="3175" distR="112395" simplePos="0" locked="0" layoutInCell="0" allowOverlap="1" relativeHeight="25" wp14:anchorId="554E2584">
                <wp:simplePos x="0" y="0"/>
                <wp:positionH relativeFrom="column">
                  <wp:posOffset>-103505</wp:posOffset>
                </wp:positionH>
                <wp:positionV relativeFrom="paragraph">
                  <wp:posOffset>114935</wp:posOffset>
                </wp:positionV>
                <wp:extent cx="5760085" cy="1616710"/>
                <wp:effectExtent l="0" t="0" r="10160" b="13335"/>
                <wp:wrapTopAndBottom/>
                <wp:docPr id="3" name="Caixa de texto 2"/>
                <a:graphic xmlns:a="http://schemas.openxmlformats.org/drawingml/2006/main">
                  <a:graphicData uri="http://schemas.microsoft.com/office/word/2010/wordprocessingShape">
                    <wps:wsp>
                      <wps:cNvSpPr/>
                      <wps:spPr>
                        <a:xfrm>
                          <a:off x="0" y="0"/>
                          <a:ext cx="5759280" cy="161604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CONSELHO DE ARQUITETURA E URBANISMO DE PARANÁ</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2" path="m0,0l-2147483645,0l-2147483645,-2147483646l0,-2147483646xe" stroked="t" style="position:absolute;margin-left:-8.15pt;margin-top:9.05pt;width:453.45pt;height:127.2pt;mso-wrap-style:square;v-text-anchor:top" wp14:anchorId="554E2584">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CONSELHO DE ARQUITETURA E URBANISMO DE PARANÁ</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r>
        <w:rPr>
          <w:rFonts w:ascii="Times New Roman" w:hAnsi="Times New Roman"/>
          <w:sz w:val="22"/>
          <w:szCs w:val="22"/>
        </w:rPr>
        <w:t>A Comissão de Seleção poderá reconsiderar o recurso ou encaminhá-lo à autoridade superior para decisão final.</w:t>
      </w:r>
    </w:p>
    <w:p>
      <w:pPr>
        <w:pStyle w:val="ListParagraph"/>
        <w:numPr>
          <w:ilvl w:val="2"/>
          <w:numId w:val="2"/>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caberá novo recurso da decisão final de que trata o item antecedente.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nos termos da lei.</w:t>
      </w:r>
    </w:p>
    <w:p>
      <w:pPr>
        <w:pStyle w:val="ListParagraph"/>
        <w:suppressAutoHyphens w:val="false"/>
        <w:spacing w:lineRule="auto" w:line="264"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CONVOCAÇÃO PARA A APRESENTAÇÃO DOS PLANOS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Plano de Trabalho; e</w:t>
      </w:r>
    </w:p>
    <w:p>
      <w:pPr>
        <w:pStyle w:val="ListParagraph"/>
        <w:numPr>
          <w:ilvl w:val="2"/>
          <w:numId w:val="2"/>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Entende-se que a convocação das entidades se dará, automaticamente, após julgamento dos recursos, com a publicação do aviso do Resultado Definitivo do Processo de Seleção no </w:t>
      </w:r>
      <w:r>
        <w:rPr>
          <w:rFonts w:eastAsia="MS Mincho" w:cs="Times New Roman" w:ascii="Times New Roman" w:hAnsi="Times New Roman"/>
          <w:color w:val="auto"/>
          <w:kern w:val="0"/>
          <w:sz w:val="22"/>
          <w:szCs w:val="22"/>
          <w:lang w:val="pt-BR" w:eastAsia="ar-SA" w:bidi="ar-SA"/>
        </w:rPr>
        <w:t>sítio eletrônico do CAU/PR</w:t>
      </w:r>
      <w:r>
        <w:rPr>
          <w:rFonts w:ascii="Times New Roman" w:hAnsi="Times New Roman"/>
          <w:sz w:val="22"/>
          <w:szCs w:val="22"/>
        </w:rPr>
        <w:t>, iniciando-se a contagem dos 15 (quinze) dias para apresentação dos documentos a partir dessa data.</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 PLANO DE TRABALHO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apresentar o seu plano de trabalho, no prazo definido no item 10, conforme Anexo 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 orçamentária do órgão, respeitada a ordem de classificação.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documentos necessários à comprovação dos requisitos constantes deste Edital.</w:t>
      </w:r>
    </w:p>
    <w:p>
      <w:pPr>
        <w:pStyle w:val="ListParagraph"/>
        <w:numPr>
          <w:ilvl w:val="2"/>
          <w:numId w:val="2"/>
        </w:numPr>
        <w:suppressAutoHyphens w:val="false"/>
        <w:spacing w:lineRule="auto" w:line="264" w:before="120" w:after="0"/>
        <w:ind w:left="1361" w:hanging="794"/>
        <w:jc w:val="both"/>
        <w:rPr>
          <w:rFonts w:ascii="Times New Roman" w:hAnsi="Times New Roman"/>
          <w:b/>
          <w:b/>
          <w:sz w:val="22"/>
          <w:szCs w:val="22"/>
        </w:rPr>
      </w:pPr>
      <w:r>
        <w:rPr>
          <w:rFonts w:ascii="Times New Roman" w:hAnsi="Times New Roman"/>
          <w:b/>
          <w:sz w:val="22"/>
          <w:szCs w:val="22"/>
        </w:rPr>
        <w:t>O Plano de Trabalho deverá ser entregue em via ORIGINAL, devidamente assinado pelo responsável indicado no formulário.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especificações que o proponente julgar necessários, obrigatoriamente, os seguintes elementos: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forma de execução das ações;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de metas quantitativas e mensuráveis a serem atingidas;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definição dos indicadores, documentos e outros meios a serem utilizados para a aferição do cumprimento das metas;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previsão de receitas e a estimativa de despesas a serem realizadas na execução das ações, incluindo os encargos sociais e trabalhistas e a discriminação dos custos indiretos necessários à execução do objeto;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ações que demandarão pagamento em espécie, quando for o caso, na forma do §1º, do art. 38 do Decreto 8.726, de 2016.</w:t>
      </w:r>
    </w:p>
    <w:p>
      <w:pPr>
        <w:pStyle w:val="ListParagraph"/>
        <w:numPr>
          <w:ilvl w:val="1"/>
          <w:numId w:val="2"/>
        </w:numPr>
        <w:suppressAutoHyphens w:val="false"/>
        <w:spacing w:lineRule="auto" w:line="264" w:before="120" w:after="0"/>
        <w:ind w:left="567" w:hanging="567"/>
        <w:jc w:val="both"/>
        <w:rPr>
          <w:b/>
          <w:b/>
          <w:bCs/>
        </w:rPr>
      </w:pPr>
      <w:r>
        <w:rPr>
          <w:rFonts w:ascii="Times New Roman" w:hAnsi="Times New Roman"/>
          <w:b/>
          <w:bCs/>
          <w:sz w:val="22"/>
          <w:szCs w:val="22"/>
        </w:rPr>
        <w:t xml:space="preserve">A previsão de receitas e despesas de que trata o item 11.3.5 deverá apresentar preços compatíveis com valores de mercado, que possam ser comprovados, através de cotações, tabelas de preços de associações profissionais, publicações especializadas ou quaisquer outras fontes de informação disponíveis ao público.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 aprovação, o CAU/PR, através da Equipe Técnica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pPr>
        <w:pStyle w:val="ListParagraph"/>
        <w:spacing w:before="121" w:after="0"/>
        <w:ind w:left="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do estatuto registrado e suas alterações, em conformidade com as exigências previstas no art. 33 da Lei nº 13.019, de 2014;</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que a Organização da Sociedade Civil não possui dirigentes que sejam empregados ou dirigentes do CAU/BR ou dos CAU/UF, bem como seus cônjuges, companheiros ou parentes em linha reta até segundo grau, conforme o Anexo IV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experiência prévia na realização do objeto da parceria ou de objeto de natureza semelhante de, no mínimo, um ano de capacidade técnica e operacional, podendo ser admitidos, sem prejuízo de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organismos internacionais, empresas ou outras organizações da sociedade civil;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publicações, pesquisas e outras formas de produção de conhecimento realizadas pela organização da sociedade civil ou a respeito dela;</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currículos profissionais de integrantes da organização da sociedade civil, sejam dirigentes, conselheiros, associados, cooperados, empregados, entre outros;</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prêmios de relevância recebidos no País ou no exterior pela organização da sociedade civil.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de Débitos Relativos a Créditos Tributários Federais e à Dívida Ativa da União;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de Serviço - CRF/FGTS;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Negativa de Débitos Trabalhistas - CNDT;</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(Modelo - Anexo V).</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de que a entidade não remunerará, a qualquer título, com os recursos repassados (Modelo - Anexo VIII):</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empresa informando os dados relativos a conta corrente específica a ser mantida pela Organização da Sociedade Civil, para recebimento dos recursos relativos à parceria a ser firmada (Modelo - Anexo IX).</w:t>
      </w:r>
    </w:p>
    <w:p>
      <w:pPr>
        <w:pStyle w:val="ListParagraph"/>
        <w:numPr>
          <w:ilvl w:val="4"/>
          <w:numId w:val="2"/>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2"/>
        </w:numPr>
        <w:spacing w:lineRule="auto" w:line="264" w:before="60" w:after="0"/>
        <w:jc w:val="both"/>
        <w:rPr>
          <w:rFonts w:ascii="Times New Roman" w:hAnsi="Times New Roman"/>
          <w:sz w:val="22"/>
          <w:szCs w:val="22"/>
        </w:rPr>
      </w:pPr>
      <w:r>
        <w:rPr>
          <w:rFonts w:ascii="Times New Roman" w:hAnsi="Times New Roman"/>
          <w:sz w:val="22"/>
          <w:szCs w:val="22"/>
        </w:rPr>
        <w:t>Comprovantes de experiência solicitados na letra “d”, da tabela do item 8.3.2, no mínimo, do coordenador do projeto.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Serão consideradas regulares, para fins de cumprimento do disposto</w:t>
      </w:r>
      <w:r>
        <w:rPr>
          <w:rFonts w:ascii="Times New Roman" w:hAnsi="Times New Roman"/>
          <w:color w:val="000000"/>
          <w:sz w:val="22"/>
          <w:szCs w:val="22"/>
        </w:rPr>
        <w:t xml:space="preserve"> neste edital</w:t>
      </w:r>
      <w:r>
        <w:rPr>
          <w:rFonts w:ascii="Times New Roman" w:hAnsi="Times New Roman"/>
          <w:sz w:val="22"/>
          <w:szCs w:val="22"/>
        </w:rPr>
        <w:t>, as certidões positivas com efeito de negativas.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organizações da sociedade civil ficarão dispensadas de reapresentar as certidões que estiverem vencidas no momento da análise, desde que estejam disponíveis eletronicamente.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Caso as certidões não estejam disponíveis eletronicamente, a OSC será notificada para apresentá-las, no prazo de 15 (quinze) dias, sob pena de não celebração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que se refere ao item 12.1.12,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deste Edital, não são considerados membros de Poder os integrantes de conselhos de direitos e de políticas públicas.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O proponente deverá estar regular com a documentação de habilitação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documentos relativos à sua regularidade fiscal, ainda que no vencimento, em 3 (três) momentos distintos:</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2º momento: na data de cada transferência de recursos do CAU/PR, conforme cronograma de desembolso financeiro do projeto;</w:t>
      </w:r>
    </w:p>
    <w:p>
      <w:pPr>
        <w:pStyle w:val="ListParagraph"/>
        <w:numPr>
          <w:ilvl w:val="2"/>
          <w:numId w:val="2"/>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regulamentação do órgão emissor que disponha sobre a validade dos mesmos.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ausência da declaração ou regulamentação de que trata o item 12.8, o documento será considerado válido pelo prazo de 30 (trinta) dias, a partir da data de sua emissão.</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FORMA DE APRESENTAÇÃO DO PLANO DE TRABALHO E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 A.R. (Aviso de Recebimento), ou entregues pessoalmente na sede do Conselho, na seguinte forma:</w:t>
      </w:r>
    </w:p>
    <w:p>
      <w:pPr>
        <w:pStyle w:val="ListParagraph"/>
        <w:suppressAutoHyphens w:val="false"/>
        <w:spacing w:lineRule="auto" w:line="264" w:before="120" w:after="0"/>
        <w:ind w:left="567" w:hanging="567"/>
        <w:jc w:val="both"/>
        <w:rPr>
          <w:rFonts w:ascii="Times New Roman" w:hAnsi="Times New Roman"/>
          <w:sz w:val="22"/>
          <w:szCs w:val="22"/>
        </w:rPr>
      </w:pPr>
      <w:r>
        <w:rPr/>
      </w:r>
    </w:p>
    <w:p>
      <w:pPr>
        <w:pStyle w:val="ListParagraph"/>
        <w:suppressAutoHyphens w:val="false"/>
        <w:spacing w:lineRule="auto" w:line="264" w:before="120" w:after="0"/>
        <w:ind w:left="567" w:hanging="567"/>
        <w:jc w:val="both"/>
        <w:rPr>
          <w:rFonts w:ascii="Times New Roman" w:hAnsi="Times New Roman"/>
          <w:sz w:val="22"/>
          <w:szCs w:val="22"/>
        </w:rPr>
      </w:pPr>
      <w:r>
        <w:rPr/>
      </w:r>
    </w:p>
    <w:p>
      <w:pPr>
        <w:pStyle w:val="ListParagraph"/>
        <w:suppressAutoHyphens w:val="false"/>
        <w:spacing w:lineRule="auto" w:line="264" w:before="120" w:after="0"/>
        <w:ind w:left="567" w:hanging="567"/>
        <w:jc w:val="both"/>
        <w:rPr>
          <w:rFonts w:ascii="Times New Roman" w:hAnsi="Times New Roman"/>
          <w:sz w:val="22"/>
          <w:szCs w:val="22"/>
        </w:rPr>
      </w:pPr>
      <w:r>
        <w:rPr/>
      </w:r>
    </w:p>
    <w:p>
      <w:pPr>
        <w:pStyle w:val="ListParagraph"/>
        <w:suppressAutoHyphens w:val="false"/>
        <w:spacing w:lineRule="auto" w:line="264" w:before="120" w:after="0"/>
        <w:ind w:left="567" w:hanging="567"/>
        <w:jc w:val="both"/>
        <w:rPr>
          <w:rFonts w:ascii="Times New Roman" w:hAnsi="Times New Roman"/>
          <w:sz w:val="22"/>
          <w:szCs w:val="22"/>
        </w:rPr>
      </w:pPr>
      <w:r>
        <w:rPr/>
      </w:r>
    </w:p>
    <w:p>
      <w:pPr>
        <w:pStyle w:val="ListParagraph"/>
        <w:suppressAutoHyphens w:val="false"/>
        <w:spacing w:lineRule="auto" w:line="264" w:before="120" w:after="0"/>
        <w:ind w:left="567" w:hanging="567"/>
        <w:jc w:val="both"/>
        <w:rPr>
          <w:rFonts w:ascii="Times New Roman" w:hAnsi="Times New Roman"/>
          <w:sz w:val="22"/>
          <w:szCs w:val="22"/>
        </w:rPr>
      </w:pPr>
      <w:r>
        <w:rPr/>
        <mc:AlternateContent>
          <mc:Choice Requires="wps">
            <w:drawing>
              <wp:anchor behindDoc="0" distT="33655" distB="0" distL="147955" distR="112395" simplePos="0" locked="0" layoutInCell="0" allowOverlap="1" relativeHeight="29" wp14:anchorId="189CD91F">
                <wp:simplePos x="0" y="0"/>
                <wp:positionH relativeFrom="margin">
                  <wp:align>center</wp:align>
                </wp:positionH>
                <wp:positionV relativeFrom="paragraph">
                  <wp:posOffset>876300</wp:posOffset>
                </wp:positionV>
                <wp:extent cx="5722620" cy="1585595"/>
                <wp:effectExtent l="0" t="0" r="13335" b="16510"/>
                <wp:wrapTopAndBottom/>
                <wp:docPr id="5" name="Caixa de texto 3_0"/>
                <a:graphic xmlns:a="http://schemas.openxmlformats.org/drawingml/2006/main">
                  <a:graphicData uri="http://schemas.microsoft.com/office/word/2010/wordprocessingShape">
                    <wps:wsp>
                      <wps:cNvSpPr/>
                      <wps:spPr>
                        <a:xfrm>
                          <a:off x="0" y="0"/>
                          <a:ext cx="5721840" cy="158508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3_0" path="m0,0l-2147483645,0l-2147483645,-2147483646l0,-2147483646xe" stroked="t" style="position:absolute;margin-left:1.45pt;margin-top:69pt;width:450.5pt;height:124.75pt;mso-wrap-style:square;v-text-anchor:top;mso-position-horizontal:center;mso-position-horizontal-relative:margin" wp14:anchorId="189CD91F">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002/2022</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uppressAutoHyphens w:val="false"/>
        <w:spacing w:lineRule="auto" w:line="264" w:before="120" w:after="0"/>
        <w:ind w:left="567" w:hanging="567"/>
        <w:jc w:val="both"/>
        <w:rPr>
          <w:rFonts w:ascii="Times New Roman" w:hAnsi="Times New Roman"/>
          <w:sz w:val="22"/>
          <w:szCs w:val="22"/>
        </w:rPr>
      </w:pPr>
      <w:r>
        <w:rPr/>
      </w:r>
    </w:p>
    <w:p>
      <w:pPr>
        <w:pStyle w:val="Normal"/>
        <w:spacing w:before="121" w:after="0"/>
        <w:ind w:right="106" w:hanging="0"/>
        <w:jc w:val="both"/>
        <w:rPr>
          <w:b/>
          <w:b/>
          <w:color w:val="FF0000"/>
          <w:sz w:val="22"/>
          <w:szCs w:val="22"/>
        </w:rPr>
      </w:pPr>
      <w:r>
        <w:rPr>
          <w:b/>
          <w:color w:val="FF0000"/>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bookmarkStart w:id="2" w:name="_GoBack"/>
      <w:bookmarkEnd w:id="2"/>
      <w:r>
        <w:rPr>
          <w:rFonts w:ascii="Times New Roman" w:hAnsi="Times New Roman"/>
          <w:b/>
          <w:sz w:val="22"/>
          <w:szCs w:val="22"/>
        </w:rPr>
        <w:t>DA EQUIPE TÉCNICA E DA ANÁLISE DO PLANO DE TRABALHO E DOS DOCUMENTOS DE HABILITAÇÃO FINAL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análise dos Planos de Trabalho e dos Documentos de Habilitação Final será realizada por Equipe Técnica designada para essa finalidade, por meio de Portaria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viabilidade de sua execução;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verificação do cronograma de desembolso;</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pPr>
        <w:pStyle w:val="ListParagraph"/>
        <w:numPr>
          <w:ilvl w:val="2"/>
          <w:numId w:val="2"/>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designação do gestor da parceria;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12.1.7 a 12.1.9 estiverem com prazo de vigência expirado e novas certidões não estiverem disponíveis eletronicamente, a organização da sociedade civil será notificada para, no prazo de 15 (quinze) dias, regularizar a documentação, sob pena de não celebração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notificação da Organização da Sociedade Civil poderá ser realizada por correspondência eletrônica ou outra forma, a critério da Administração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poderão aportar recursos financeiros ao projeto, por meio de contrapartidas institucionais, as quais deverão ser especificadas e devidamente comprovadas quando da prestação de contas.</w:t>
      </w:r>
    </w:p>
    <w:p>
      <w:pPr>
        <w:pStyle w:val="ListParagraph"/>
        <w:suppressAutoHyphens w:val="false"/>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ANÁLISE JURÍDICA</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propostas e respectivos documentos, com a consequente emissão do parecer jurídico acerca da possibilidade de celebração da parceria.</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FORMALIZAÇÃO DO TERMO DE FOMENTO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através da formalização do respectivo Termo de Fomento, serão notificadas para assinatura do referido instrumento.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 notificação de que trata o item 16.2, os representantes legais das Organizações da Sociedade Civil e os responsáveis técnicos dos projetos, deverão comparecer pessoalmente ao CAU/PR, no prazo de 10 (dez) dias a contar de sua notificação para a assinatura dos Termos de Fomento respectivos.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No mesmo prazo, poderão as OSC serem convocadas a apresentarem os documentos relativos à sua habilitação, que se encontrarem vencidos.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pPr>
        <w:pStyle w:val="Normal"/>
        <w:spacing w:before="121" w:after="0"/>
        <w:ind w:right="106" w:hanging="0"/>
        <w:jc w:val="both"/>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DIVULGAÇÃO DAS AÇÕES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divulgação deverá ser realizada desde a celebração das parcerias até 180 (cento e oitenta) dias após a apresentação da prestação de contas final.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As Organizações da Sociedade Civil deverão divulgar, no mínimo: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data de assinatura e identificação do instrumento de parceria e do órgão da administração pública responsável;</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descrição do objeto da parceria;</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valor total da parceria e valores liberados;</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pPr>
        <w:pStyle w:val="ListParagraph"/>
        <w:numPr>
          <w:ilvl w:val="3"/>
          <w:numId w:val="2"/>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Quando vinculados à execução do objeto e pagos com recursos da parceria, o valor total da remuneração da equipe de trabalho, as funções que seus integrantes desempenham e a remuneração prevista para o respectivo exercício.</w:t>
      </w:r>
    </w:p>
    <w:p>
      <w:pPr>
        <w:pStyle w:val="Normal"/>
        <w:spacing w:before="121" w:after="0"/>
        <w:ind w:left="-10"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REPASSE DOS RECURSOS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houver evidências de irregularidade na aplicação de parcela anteriormente recebida;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a Organização da Sociedade Civil deixar de adotar sem justificativa suficiente as medidas saneadoras apontadas pelo CAU/PR, através de notificação encaminhada pelo gestor da parceria ou pelos órgãos de controle interno ou externo.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configura inadimplemento de obrigação estabelecida no termo de fomento</w:t>
      </w:r>
      <w:r>
        <w:rPr>
          <w:rFonts w:ascii="Times New Roman" w:hAnsi="Times New Roman"/>
          <w:color w:val="000000"/>
          <w:sz w:val="22"/>
          <w:szCs w:val="22"/>
        </w:rPr>
        <w:t>.</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proponente deverá encaminhar para o endereço eletrônico</w:t>
      </w:r>
      <w:r>
        <w:rPr>
          <w:rFonts w:ascii="Times New Roman" w:hAnsi="Times New Roman"/>
          <w:color w:val="FF0000"/>
          <w:sz w:val="22"/>
          <w:szCs w:val="22"/>
        </w:rPr>
        <w:t xml:space="preserve"> </w:t>
      </w:r>
      <w:r>
        <w:rPr>
          <w:rFonts w:ascii="Times New Roman" w:hAnsi="Times New Roman"/>
          <w:color w:val="000000"/>
          <w:sz w:val="22"/>
          <w:szCs w:val="22"/>
        </w:rPr>
        <w:t>comunicacao</w:t>
      </w:r>
      <w:r>
        <w:rPr>
          <w:rStyle w:val="LinkdaInternet"/>
          <w:rFonts w:ascii="Times New Roman" w:hAnsi="Times New Roman"/>
          <w:color w:val="000000"/>
          <w:sz w:val="22"/>
          <w:szCs w:val="22"/>
        </w:rPr>
        <w:t>@caupr.gov.br</w:t>
      </w:r>
      <w:r>
        <w:rPr>
          <w:rStyle w:val="LinkdaInternet"/>
          <w:rFonts w:ascii="Times New Roman" w:hAnsi="Times New Roman"/>
          <w:sz w:val="22"/>
          <w:szCs w:val="22"/>
        </w:rPr>
        <w:t xml:space="preserve"> </w:t>
      </w:r>
      <w:r>
        <w:rPr>
          <w:rFonts w:ascii="Times New Roman" w:hAnsi="Times New Roman"/>
          <w:sz w:val="22"/>
          <w:szCs w:val="22"/>
        </w:rPr>
        <w:t>declaração de repasse de recurso de cada valor depositado na conta corrente específica do projeto, conforme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pPr>
        <w:pStyle w:val="Normal"/>
        <w:spacing w:before="121" w:after="0"/>
        <w:ind w:right="106" w:hanging="0"/>
        <w:rPr>
          <w:b/>
          <w:b/>
          <w:color w:val="FF0000"/>
          <w:sz w:val="22"/>
          <w:szCs w:val="22"/>
        </w:rPr>
      </w:pPr>
      <w:r>
        <w:rPr>
          <w:b/>
          <w:color w:val="FF0000"/>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SANÇÕES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Quando a execução da parceria estiver em desacordo com o plano de trabalho e com as normas da </w:t>
      </w:r>
      <w:hyperlink r:id="rId2">
        <w:r>
          <w:rPr>
            <w:rFonts w:ascii="Times New Roman" w:hAnsi="Times New Roman"/>
            <w:sz w:val="22"/>
            <w:szCs w:val="22"/>
          </w:rPr>
          <w:t>Lei nº</w:t>
        </w:r>
      </w:hyperlink>
      <w:hyperlink r:id="rId3">
        <w:r>
          <w:rPr>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Da verificação do fato que poderá acarretar a aplicação das sanções previstas no item</w:t>
      </w:r>
      <w:r>
        <w:rPr>
          <w:rFonts w:ascii="Times New Roman" w:hAnsi="Times New Roman"/>
          <w:color w:val="FF0000"/>
          <w:sz w:val="22"/>
          <w:szCs w:val="22"/>
        </w:rPr>
        <w:t xml:space="preserve">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pPr>
        <w:pStyle w:val="Normal"/>
        <w:spacing w:before="121" w:after="0"/>
        <w:ind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deverá ser feita em observância as regras previstas na Lei 13.019, de 2014, no Decreto 8.726, de 2016 e no Manual de Prestação de Contas –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OSC deverá apresentar a prestação de contas dos projetos, ao gestor da parceria, através dos seguintes documentos: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 do presente Edital;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w:t>
      </w:r>
      <w:r>
        <w:rPr>
          <w:rFonts w:ascii="Times New Roman" w:hAnsi="Times New Roman"/>
          <w:color w:val="FF0000"/>
          <w:sz w:val="22"/>
          <w:szCs w:val="22"/>
        </w:rPr>
        <w:t xml:space="preserve"> </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e todos os atos dela decorrentes deverão ser divulgados no sítio eletrônico do CAU/PR, permitida a visualização por qualquer interessado, nos termos do art. 65,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Deverão ser observadas para a Prestação de Contas, as determinações constantes dos arts. 63 a 72 da Lei 13.019, de 2014, dos arts. 59 a 77 do Decreto 8.726, de 2016 e do Manual de Prestação de Contas, Anexo XI do presente Edital.</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DOS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MONITORAMENTO E AVALIAÇÃO</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Caberá a Comissão de Monitoramento e Avaliação do CAU/PR a avaliação e a homologação dos relatórios técnicos de monitoramento e avaliação, a ser emitido pela equipe técnica responsável do CAU/PR.</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pPr>
        <w:pStyle w:val="ListParagraph"/>
        <w:numPr>
          <w:ilvl w:val="1"/>
          <w:numId w:val="2"/>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pPr>
        <w:pStyle w:val="ListParagraph"/>
        <w:suppressAutoHyphens w:val="false"/>
        <w:spacing w:before="121" w:after="0"/>
        <w:ind w:left="-1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 GESTÃO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São obrigações do gestor da parceria:</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Acompanhar e fiscalizar a execução da parceria;</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pPr>
        <w:pStyle w:val="ListParagraph"/>
        <w:numPr>
          <w:ilvl w:val="2"/>
          <w:numId w:val="2"/>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conteúdo do relatório técnico de monitoramento e avaliação, e análise da assessoria contábil;</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pPr>
        <w:pStyle w:val="Normal"/>
        <w:spacing w:before="121" w:after="0"/>
        <w:ind w:left="-10" w:right="106" w:hanging="0"/>
        <w:rPr>
          <w:b/>
          <w:b/>
          <w:sz w:val="22"/>
          <w:szCs w:val="22"/>
        </w:rPr>
      </w:pPr>
      <w:r>
        <w:rPr>
          <w:b/>
          <w:sz w:val="22"/>
          <w:szCs w:val="22"/>
        </w:rPr>
      </w:r>
    </w:p>
    <w:p>
      <w:pPr>
        <w:pStyle w:val="ListParagraph"/>
        <w:numPr>
          <w:ilvl w:val="0"/>
          <w:numId w:val="2"/>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DISPOSIÇÕES FINAIS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homologação deste chamamento público não gerará direito a Organização da Sociedade Civil à celebração da parceria.</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hyperlink r:id="rId4">
        <w:r>
          <w:rPr>
            <w:rStyle w:val="LinkdaInternet"/>
            <w:rFonts w:ascii="Times New Roman" w:hAnsi="Times New Roman"/>
            <w:sz w:val="22"/>
            <w:szCs w:val="22"/>
          </w:rPr>
          <w:t>http://www.caupr.gov.br</w:t>
        </w:r>
      </w:hyperlink>
      <w:r>
        <w:rPr>
          <w:rFonts w:ascii="Times New Roman" w:hAnsi="Times New Roman"/>
          <w:sz w:val="22"/>
          <w:szCs w:val="22"/>
        </w:rPr>
        <w:t xml:space="preserve"> para a divulgação de quaisquer informações públicas sobre o presente processo de seleção, sem prejuízo da utilização de outros veículos de comunicação, oficiais ou não, de que o CAU/PR venha a dispor.</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também estabelecido o endereço eletrônico </w:t>
      </w:r>
      <w:hyperlink r:id="rId5">
        <w:r>
          <w:rPr>
            <w:rStyle w:val="LinkdaInternet"/>
            <w:rFonts w:ascii="Times New Roman" w:hAnsi="Times New Roman"/>
            <w:sz w:val="22"/>
            <w:szCs w:val="22"/>
          </w:rPr>
          <w:t>comunicacao@caupr.gov.br</w:t>
        </w:r>
      </w:hyperlink>
      <w:r>
        <w:rPr>
          <w:rFonts w:ascii="Times New Roman" w:hAnsi="Times New Roman"/>
          <w:color w:val="000000"/>
          <w:sz w:val="22"/>
          <w:szCs w:val="22"/>
        </w:rPr>
        <w:t xml:space="preserve"> </w:t>
      </w:r>
      <w:r>
        <w:rPr>
          <w:rFonts w:ascii="Times New Roman" w:hAnsi="Times New Roman"/>
          <w:sz w:val="22"/>
          <w:szCs w:val="22"/>
        </w:rPr>
        <w:t>para esclarecimentos de dúvidas com relação ao Edital ou com relação à execução da parceria e 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 modalidade ou título que concedeu direitos de uso de tais bens;</w:t>
      </w:r>
    </w:p>
    <w:p>
      <w:pPr>
        <w:pStyle w:val="ListParagraph"/>
        <w:numPr>
          <w:ilvl w:val="2"/>
          <w:numId w:val="2"/>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finais decorrentes das parcerias firmadas com o CAU/PR, nos termos deste Edital.</w:t>
      </w:r>
    </w:p>
    <w:p>
      <w:pPr>
        <w:pStyle w:val="Normal"/>
        <w:spacing w:before="121" w:after="0"/>
        <w:ind w:right="106" w:hanging="0"/>
        <w:rPr>
          <w:sz w:val="22"/>
          <w:szCs w:val="22"/>
        </w:rPr>
      </w:pPr>
      <w:r>
        <w:rPr>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 FORO</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DOCUMENTOS INTEGRANTES DESTE EDITAL</w:t>
      </w:r>
    </w:p>
    <w:p>
      <w:pPr>
        <w:pStyle w:val="ListParagraph"/>
        <w:numPr>
          <w:ilvl w:val="1"/>
          <w:numId w:val="2"/>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6">
        <w:r>
          <w:rPr>
            <w:rFonts w:ascii="Times New Roman" w:hAnsi="Times New Roman"/>
            <w:sz w:val="22"/>
            <w:szCs w:val="22"/>
          </w:rPr>
          <w:t>Anexo I – Formulário de Apresentação do Projeto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7">
        <w:r>
          <w:rPr>
            <w:rFonts w:ascii="Times New Roman" w:hAnsi="Times New Roman"/>
            <w:sz w:val="22"/>
            <w:szCs w:val="22"/>
          </w:rPr>
          <w:t>Anexo II – Plano de Trabalho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8">
        <w:r>
          <w:rPr>
            <w:rFonts w:ascii="Times New Roman" w:hAnsi="Times New Roman"/>
            <w:sz w:val="22"/>
            <w:szCs w:val="22"/>
          </w:rPr>
          <w:t>Anexo III – Declaração – art. 26, IX,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9">
        <w:r>
          <w:rPr>
            <w:rFonts w:ascii="Times New Roman" w:hAnsi="Times New Roman"/>
            <w:sz w:val="22"/>
            <w:szCs w:val="22"/>
          </w:rPr>
          <w:t>Anexo IV – Declaração – Vedação – Dirigentes CAUBR e CAUUF</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0">
        <w:r>
          <w:rPr>
            <w:rFonts w:ascii="Times New Roman" w:hAnsi="Times New Roman"/>
            <w:sz w:val="22"/>
            <w:szCs w:val="22"/>
          </w:rPr>
          <w:t>Anexo V – Declaração – art. 26, X,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1">
        <w:r>
          <w:rPr>
            <w:rFonts w:ascii="Times New Roman" w:hAnsi="Times New Roman"/>
            <w:sz w:val="22"/>
            <w:szCs w:val="22"/>
          </w:rPr>
          <w:t>Anexo VI – Declaração – art. 27, I, a e b,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2">
        <w:r>
          <w:rPr>
            <w:rFonts w:ascii="Times New Roman" w:hAnsi="Times New Roman"/>
            <w:sz w:val="22"/>
            <w:szCs w:val="22"/>
          </w:rPr>
          <w:t>Anexo VII – Declaração – art. 27, II,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3">
        <w:r>
          <w:rPr>
            <w:rFonts w:ascii="Times New Roman" w:hAnsi="Times New Roman"/>
            <w:sz w:val="22"/>
            <w:szCs w:val="22"/>
          </w:rPr>
          <w:t>Anexo VIII – Declaração – art. 27, III, Decreto 8726-2016 – 003-2018</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4">
        <w:r>
          <w:rPr>
            <w:rFonts w:ascii="Times New Roman" w:hAnsi="Times New Roman"/>
            <w:sz w:val="22"/>
            <w:szCs w:val="22"/>
          </w:rPr>
          <w:t>Anexo IX – Declaração – art. 33, Decreto 8726-2016</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5">
        <w:r>
          <w:rPr>
            <w:rFonts w:ascii="Times New Roman" w:hAnsi="Times New Roman"/>
            <w:sz w:val="22"/>
            <w:szCs w:val="22"/>
          </w:rPr>
          <w:t>Anexo X – Declaração de recebimento de repasse de recurso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6">
        <w:r>
          <w:rPr>
            <w:rFonts w:ascii="Times New Roman" w:hAnsi="Times New Roman"/>
            <w:sz w:val="22"/>
            <w:szCs w:val="22"/>
          </w:rPr>
          <w:t>Anexo XI – Manual Prestação Contas</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7">
        <w:r>
          <w:rPr>
            <w:rFonts w:ascii="Times New Roman" w:hAnsi="Times New Roman"/>
            <w:sz w:val="22"/>
            <w:szCs w:val="22"/>
          </w:rPr>
          <w:t>Apenso 1 – Relatório Final Execução do Objeto</w:t>
        </w:r>
      </w:hyperlink>
    </w:p>
    <w:p>
      <w:pPr>
        <w:pStyle w:val="ListParagraph"/>
        <w:numPr>
          <w:ilvl w:val="3"/>
          <w:numId w:val="10"/>
        </w:numPr>
        <w:suppressAutoHyphens w:val="false"/>
        <w:spacing w:before="120" w:after="0"/>
        <w:ind w:left="1701" w:hanging="567"/>
        <w:jc w:val="both"/>
        <w:rPr>
          <w:rFonts w:ascii="Times New Roman" w:hAnsi="Times New Roman"/>
          <w:sz w:val="22"/>
          <w:szCs w:val="22"/>
        </w:rPr>
      </w:pPr>
      <w:hyperlink r:id="rId18">
        <w:r>
          <w:rPr>
            <w:rFonts w:ascii="Times New Roman" w:hAnsi="Times New Roman"/>
            <w:sz w:val="22"/>
            <w:szCs w:val="22"/>
          </w:rPr>
          <w:t>Apenso 2 – Relatório Final Execução Financeira</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19">
        <w:r>
          <w:rPr>
            <w:rFonts w:ascii="Times New Roman" w:hAnsi="Times New Roman"/>
            <w:sz w:val="22"/>
            <w:szCs w:val="22"/>
          </w:rPr>
          <w:t>Anexo XII – Minuta Termo de Fomento</w:t>
        </w:r>
      </w:hyperlink>
    </w:p>
    <w:p>
      <w:pPr>
        <w:pStyle w:val="ListParagraph"/>
        <w:numPr>
          <w:ilvl w:val="2"/>
          <w:numId w:val="2"/>
        </w:numPr>
        <w:suppressAutoHyphens w:val="false"/>
        <w:spacing w:before="120" w:after="0"/>
        <w:ind w:left="1276" w:hanging="709"/>
        <w:jc w:val="both"/>
        <w:rPr>
          <w:rFonts w:ascii="Times New Roman" w:hAnsi="Times New Roman"/>
          <w:sz w:val="22"/>
          <w:szCs w:val="22"/>
        </w:rPr>
      </w:pPr>
      <w:hyperlink r:id="rId20">
        <w:r>
          <w:rPr>
            <w:rFonts w:ascii="Times New Roman" w:hAnsi="Times New Roman"/>
            <w:sz w:val="22"/>
            <w:szCs w:val="22"/>
          </w:rPr>
          <w:t>Anexo XIII – Cronograma</w:t>
        </w:r>
      </w:hyperlink>
    </w:p>
    <w:p>
      <w:pPr>
        <w:pStyle w:val="Normal"/>
        <w:spacing w:before="121" w:after="0"/>
        <w:ind w:right="106" w:hanging="0"/>
        <w:rPr>
          <w:sz w:val="22"/>
          <w:szCs w:val="22"/>
        </w:rPr>
      </w:pPr>
      <w:r>
        <w:rPr>
          <w:sz w:val="22"/>
          <w:szCs w:val="22"/>
        </w:rPr>
      </w:r>
    </w:p>
    <w:p>
      <w:pPr>
        <w:pStyle w:val="Normal"/>
        <w:spacing w:before="121" w:after="0"/>
        <w:ind w:right="106" w:hanging="0"/>
        <w:rPr>
          <w:sz w:val="22"/>
          <w:szCs w:val="22"/>
        </w:rPr>
      </w:pPr>
      <w:r>
        <w:rPr>
          <w:sz w:val="22"/>
          <w:szCs w:val="22"/>
        </w:rPr>
      </w:r>
    </w:p>
    <w:p>
      <w:pPr>
        <w:pStyle w:val="Normal"/>
        <w:spacing w:before="0" w:after="160"/>
        <w:jc w:val="center"/>
        <w:rPr>
          <w:sz w:val="22"/>
          <w:szCs w:val="22"/>
        </w:rPr>
      </w:pPr>
      <w:r>
        <w:rPr>
          <w:sz w:val="22"/>
          <w:szCs w:val="22"/>
        </w:rPr>
        <w:t>Curitiba (PR), 03 de outubro de 2022</w:t>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jc w:val="center"/>
        <w:rPr>
          <w:b/>
          <w:b/>
          <w:sz w:val="22"/>
          <w:szCs w:val="22"/>
        </w:rPr>
      </w:pPr>
      <w:r>
        <w:rPr>
          <w:b/>
          <w:sz w:val="22"/>
          <w:szCs w:val="22"/>
        </w:rPr>
        <w:t>Milton Carlos Zanelatto Gonçalves</w:t>
      </w:r>
    </w:p>
    <w:p>
      <w:pPr>
        <w:pStyle w:val="Normal"/>
        <w:jc w:val="center"/>
        <w:rPr>
          <w:b/>
          <w:b/>
          <w:sz w:val="22"/>
          <w:szCs w:val="22"/>
        </w:rPr>
      </w:pPr>
      <w:r>
        <w:rPr>
          <w:b/>
          <w:sz w:val="22"/>
          <w:szCs w:val="22"/>
        </w:rPr>
        <w:t>Presidente do CAU/PR</w:t>
      </w:r>
    </w:p>
    <w:p>
      <w:pPr>
        <w:pStyle w:val="Normal"/>
        <w:spacing w:before="0" w:after="160"/>
        <w:rPr>
          <w:sz w:val="22"/>
        </w:rPr>
      </w:pPr>
      <w:r>
        <w:rPr/>
      </w:r>
    </w:p>
    <w:sectPr>
      <w:headerReference w:type="default" r:id="rId21"/>
      <w:footerReference w:type="default" r:id="rId22"/>
      <w:type w:val="nextPage"/>
      <w:pgSz w:w="11906" w:h="16838"/>
      <w:pgMar w:left="1701" w:right="1134" w:header="709" w:top="170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b/>
        <w:b/>
        <w:color w:val="006666"/>
        <w:sz w:val="18"/>
      </w:rPr>
    </w:pPr>
    <w:r>
      <w:rPr>
        <w:b/>
        <w:color w:val="006666"/>
        <w:sz w:val="18"/>
      </w:rPr>
      <w:t>Conselho de Arquitetura e Urbanismo do Paraná.</w:t>
    </w:r>
  </w:p>
  <w:p>
    <w:pPr>
      <w:pStyle w:val="Rodap"/>
      <w:ind w:left="-567" w:hanging="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7790635"/>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24">
              <wp:simplePos x="0" y="0"/>
              <wp:positionH relativeFrom="column">
                <wp:posOffset>-523875</wp:posOffset>
              </wp:positionH>
              <wp:positionV relativeFrom="paragraph">
                <wp:posOffset>-238760</wp:posOffset>
              </wp:positionV>
              <wp:extent cx="5400040" cy="630555"/>
              <wp:effectExtent l="0" t="0" r="0" b="0"/>
              <wp:wrapNone/>
              <wp:docPr id="7"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23</w:t>
        </w:r>
        <w:r>
          <w:rPr>
            <w:sz w:val="20"/>
            <w:b/>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23</w:t>
        </w:r>
        <w:r>
          <w:rPr>
            <w:sz w:val="20"/>
            <w:b/>
            <w:bCs/>
            <w:rFonts w:cs="Calibri" w:ascii="Calibri" w:hAnsi="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0" w:hanging="0"/>
      </w:pPr>
      <w:rPr>
        <w:sz w:val="22"/>
        <w:b/>
        <w:szCs w:val="22"/>
      </w:rPr>
    </w:lvl>
    <w:lvl w:ilvl="2">
      <w:start w:val="1"/>
      <w:numFmt w:val="decimal"/>
      <w:lvlText w:val="%1.%2.%3"/>
      <w:lvlJc w:val="left"/>
      <w:pPr>
        <w:tabs>
          <w:tab w:val="num" w:pos="0"/>
        </w:tabs>
        <w:ind w:left="1430" w:hanging="720"/>
      </w:pPr>
      <w:rPr>
        <w:b/>
        <w:bCs w:val="false"/>
        <w:color w:val="000000"/>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3">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4">
    <w:lvl w:ilvl="0">
      <w:start w:val="1"/>
      <w:numFmt w:val="lowerLetter"/>
      <w:lvlText w:val="%1)"/>
      <w:lvlJc w:val="left"/>
      <w:pPr>
        <w:tabs>
          <w:tab w:val="num" w:pos="0"/>
        </w:tabs>
        <w:ind w:left="2126" w:hanging="360"/>
      </w:p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5">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6">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7">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8">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9">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0">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sz w:val="22"/>
        <w:b/>
        <w:szCs w:val="22"/>
        <w:w w:val="100"/>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1">
    <w:lvl w:ilvl="0">
      <w:start w:val="1"/>
      <w:numFmt w:val="upperRoman"/>
      <w:lvlText w:val="%1-"/>
      <w:lvlJc w:val="left"/>
      <w:pPr>
        <w:tabs>
          <w:tab w:val="num" w:pos="0"/>
        </w:tabs>
        <w:ind w:left="1287" w:hanging="720"/>
      </w:pPr>
      <w:rPr>
        <w:sz w:val="22"/>
        <w:rFonts w:ascii="Times New Roman" w:hAnsi="Times New Roman" w:cs="Times New Roman"/>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7635"/>
    <w:pPr>
      <w:widowControl/>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074b44"/>
    <w:rPr>
      <w:color w:val="0563C1" w:themeColor="hyperlink"/>
      <w:u w:val="single"/>
    </w:rPr>
  </w:style>
  <w:style w:type="character" w:styleId="CorpodetextoChar" w:customStyle="1">
    <w:name w:val="Corpo de texto Char"/>
    <w:basedOn w:val="DefaultParagraphFont"/>
    <w:link w:val="Corpodetexto"/>
    <w:uiPriority w:val="1"/>
    <w:qFormat/>
    <w:rsid w:val="00240820"/>
    <w:rPr>
      <w:rFonts w:ascii="Arial" w:hAnsi="Arial" w:eastAsia="Arial" w:cs="Arial"/>
      <w:lang w:eastAsia="pt-BR" w:bidi="pt-BR"/>
    </w:rPr>
  </w:style>
  <w:style w:type="character" w:styleId="Annotationreference">
    <w:name w:val="annotation reference"/>
    <w:basedOn w:val="DefaultParagraphFont"/>
    <w:uiPriority w:val="99"/>
    <w:semiHidden/>
    <w:unhideWhenUsed/>
    <w:qFormat/>
    <w:rsid w:val="00d54bf5"/>
    <w:rPr>
      <w:sz w:val="16"/>
      <w:szCs w:val="16"/>
    </w:rPr>
  </w:style>
  <w:style w:type="character" w:styleId="TextodecomentrioChar" w:customStyle="1">
    <w:name w:val="Texto de comentário Char"/>
    <w:basedOn w:val="DefaultParagraphFont"/>
    <w:link w:val="Textodecomentrio"/>
    <w:uiPriority w:val="99"/>
    <w:qFormat/>
    <w:rsid w:val="00d54bf5"/>
    <w:rPr>
      <w:rFonts w:ascii="Times New Roman" w:hAnsi="Times New Roman" w:eastAsia="Times New Roman" w:cs="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d54bf5"/>
    <w:rPr>
      <w:rFonts w:ascii="Times New Roman" w:hAnsi="Times New Roman" w:eastAsia="Times New Roman" w:cs="Times New Roman"/>
      <w:b/>
      <w:bCs/>
      <w:sz w:val="20"/>
      <w:szCs w:val="20"/>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1"/>
    <w:qFormat/>
    <w:rsid w:val="00240820"/>
    <w:pPr>
      <w:widowControl w:val="false"/>
      <w:spacing w:before="119" w:after="0"/>
      <w:ind w:left="1234" w:hanging="0"/>
    </w:pPr>
    <w:rPr>
      <w:sz w:val="22"/>
      <w:lang w:bidi="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iPriority w:val="99"/>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Xmsonormal" w:customStyle="1">
    <w:name w:val="x_msonormal"/>
    <w:basedOn w:val="Normal"/>
    <w:qFormat/>
    <w:rsid w:val="004444d6"/>
    <w:pPr>
      <w:spacing w:beforeAutospacing="1" w:afterAutospacing="1"/>
    </w:pPr>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customStyle="1">
    <w:name w:val="List Paragraph"/>
    <w:basedOn w:val="Normal"/>
    <w:qFormat/>
    <w:rsid w:val="003b750d"/>
    <w:pPr>
      <w:widowControl w:val="false"/>
      <w:suppressAutoHyphens w:val="true"/>
      <w:ind w:left="708" w:hanging="0"/>
    </w:pPr>
    <w:rPr>
      <w:rFonts w:ascii="Cambria" w:hAnsi="Cambria" w:eastAsia="MS Mincho"/>
      <w:lang w:eastAsia="ar-SA"/>
    </w:rPr>
  </w:style>
  <w:style w:type="paragraph" w:styleId="TableParagraph" w:customStyle="1">
    <w:name w:val="Table Paragraph"/>
    <w:basedOn w:val="Normal"/>
    <w:uiPriority w:val="1"/>
    <w:qFormat/>
    <w:rsid w:val="00ba59c2"/>
    <w:pPr>
      <w:widowControl w:val="false"/>
    </w:pPr>
    <w:rPr>
      <w:sz w:val="22"/>
      <w:lang w:bidi="pt-BR"/>
    </w:rPr>
  </w:style>
  <w:style w:type="paragraph" w:styleId="NormalWeb">
    <w:name w:val="Normal (Web)"/>
    <w:basedOn w:val="Normal"/>
    <w:uiPriority w:val="99"/>
    <w:semiHidden/>
    <w:unhideWhenUsed/>
    <w:qFormat/>
    <w:rsid w:val="006e1bb2"/>
    <w:pPr>
      <w:spacing w:beforeAutospacing="1" w:afterAutospacing="1"/>
    </w:pPr>
    <w:rPr/>
  </w:style>
  <w:style w:type="paragraph" w:styleId="Default" w:customStyle="1">
    <w:name w:val="Default"/>
    <w:qFormat/>
    <w:rsid w:val="006c005a"/>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Revision">
    <w:name w:val="Revision"/>
    <w:uiPriority w:val="99"/>
    <w:semiHidden/>
    <w:qFormat/>
    <w:rsid w:val="00fc679d"/>
    <w:pPr>
      <w:widowControl/>
      <w:suppressAutoHyphens w:val="true"/>
      <w:bidi w:val="0"/>
      <w:spacing w:before="0" w:after="0"/>
      <w:jc w:val="left"/>
    </w:pPr>
    <w:rPr>
      <w:rFonts w:ascii="Arial" w:hAnsi="Arial" w:eastAsia="Arial" w:cs="Arial"/>
      <w:color w:val="000000"/>
      <w:kern w:val="0"/>
      <w:sz w:val="24"/>
      <w:szCs w:val="22"/>
      <w:lang w:val="pt-BR" w:eastAsia="pt-BR" w:bidi="ar-SA"/>
    </w:rPr>
  </w:style>
  <w:style w:type="paragraph" w:styleId="Contedodoquadro" w:customStyle="1">
    <w:name w:val="Conteúdo do quadro"/>
    <w:basedOn w:val="Normal"/>
    <w:qFormat/>
    <w:pPr/>
    <w:rPr/>
  </w:style>
  <w:style w:type="paragraph" w:styleId="Annotationtext">
    <w:name w:val="annotation text"/>
    <w:basedOn w:val="Normal"/>
    <w:link w:val="TextodecomentrioChar"/>
    <w:uiPriority w:val="99"/>
    <w:unhideWhenUsed/>
    <w:qFormat/>
    <w:rsid w:val="00d54bf5"/>
    <w:pPr/>
    <w:rPr>
      <w:sz w:val="20"/>
      <w:szCs w:val="20"/>
    </w:rPr>
  </w:style>
  <w:style w:type="paragraph" w:styleId="Annotationsubject">
    <w:name w:val="annotation subject"/>
    <w:basedOn w:val="Annotationtext"/>
    <w:next w:val="Annotationtext"/>
    <w:link w:val="AssuntodocomentrioChar"/>
    <w:uiPriority w:val="99"/>
    <w:semiHidden/>
    <w:unhideWhenUsed/>
    <w:qFormat/>
    <w:rsid w:val="00d54bf5"/>
    <w:pPr/>
    <w:rPr>
      <w:b/>
      <w:bCs/>
    </w:rPr>
  </w:style>
  <w:style w:type="numbering" w:styleId="NoList" w:default="1">
    <w:name w:val="No List"/>
    <w:uiPriority w:val="99"/>
    <w:semiHidden/>
    <w:unhideWhenUsed/>
    <w:qFormat/>
  </w:style>
  <w:style w:type="numbering" w:styleId="Listaatual1" w:customStyle="1">
    <w:name w:val="Lista atual1"/>
    <w:uiPriority w:val="99"/>
    <w:qFormat/>
    <w:rsid w:val="005306e4"/>
  </w:style>
  <w:style w:type="numbering" w:styleId="Listaatual2" w:customStyle="1">
    <w:name w:val="Lista atual2"/>
    <w:uiPriority w:val="99"/>
    <w:qFormat/>
    <w:rsid w:val="005306e4"/>
  </w:style>
  <w:style w:type="numbering" w:styleId="Listaatual3" w:customStyle="1">
    <w:name w:val="Lista atual3"/>
    <w:uiPriority w:val="99"/>
    <w:qFormat/>
    <w:rsid w:val="00b05b33"/>
  </w:style>
  <w:style w:type="numbering" w:styleId="Listaatual4" w:customStyle="1">
    <w:name w:val="Lista atual4"/>
    <w:uiPriority w:val="99"/>
    <w:qFormat/>
    <w:rsid w:val="00756225"/>
  </w:style>
  <w:style w:type="numbering" w:styleId="Listaatual5" w:customStyle="1">
    <w:name w:val="Lista atual5"/>
    <w:uiPriority w:val="99"/>
    <w:qFormat/>
    <w:rsid w:val="00756225"/>
  </w:style>
  <w:style w:type="numbering" w:styleId="Listaatual6" w:customStyle="1">
    <w:name w:val="Lista atual6"/>
    <w:uiPriority w:val="99"/>
    <w:qFormat/>
    <w:rsid w:val="00756225"/>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4" Type="http://schemas.openxmlformats.org/officeDocument/2006/relationships/hyperlink" Target="http://www.caupr.gov.br/" TargetMode="External"/><Relationship Id="rId5" Type="http://schemas.openxmlformats.org/officeDocument/2006/relationships/hyperlink" Target="mailto:comunicacao@caupr.gov.br" TargetMode="External"/><Relationship Id="rId6" Type="http://schemas.openxmlformats.org/officeDocument/2006/relationships/hyperlink" Target="https://transparencia.causp.gov.br/wp-content/uploads/2.-ANEXO-II-Formul&#225;rio-de-Apresenta&#231;&#227;o-do-Projeto.doc" TargetMode="External"/><Relationship Id="rId7" Type="http://schemas.openxmlformats.org/officeDocument/2006/relationships/hyperlink" Target="https://transparencia.causp.gov.br/wp-content/uploads/3.-ANEXO-III-Plano-de-Trabalho.docx" TargetMode="External"/><Relationship Id="rId8" Type="http://schemas.openxmlformats.org/officeDocument/2006/relationships/hyperlink" Target="https://transparencia.causp.gov.br/wp-content/uploads/4.-ANEXO-IV-Declara&#231;&#227;o-art.-26-IX-Decreto-8.726-2016.doc" TargetMode="External"/><Relationship Id="rId9" Type="http://schemas.openxmlformats.org/officeDocument/2006/relationships/hyperlink" Target="https://transparencia.causp.gov.br/wp-content/uploads/5.-ANEXO-V-Declara&#231;&#227;o-Veda&#231;&#227;o-Dirigentes-CAUBR-e-CAUUF.doc" TargetMode="External"/><Relationship Id="rId10" Type="http://schemas.openxmlformats.org/officeDocument/2006/relationships/hyperlink" Target="https://transparencia.causp.gov.br/wp-content/uploads/6.-ANEXO-VI-Declara&#231;&#227;o-art.-26-X-Decreto-8.726-2016.doc" TargetMode="External"/><Relationship Id="rId11" Type="http://schemas.openxmlformats.org/officeDocument/2006/relationships/hyperlink" Target="https://transparencia.causp.gov.br/wp-content/uploads/7.-ANEXO-VII-Declara&#231;&#227;o-art.-27-I-a-e-b-Decreto-8726-2016.doc" TargetMode="External"/><Relationship Id="rId12" Type="http://schemas.openxmlformats.org/officeDocument/2006/relationships/hyperlink" Target="https://transparencia.causp.gov.br/wp-content/uploads/8.-ANEXO-VIII-Declara&#231;&#227;o-art.-27-II-Decreto-8726-2016.doc" TargetMode="External"/><Relationship Id="rId13" Type="http://schemas.openxmlformats.org/officeDocument/2006/relationships/hyperlink" Target="https://transparencia.causp.gov.br/wp-content/uploads/9.-ANEXO-IX-Declara&#231;&#227;o-art.-27-III-Decreto-8726-2016.doc" TargetMode="External"/><Relationship Id="rId14" Type="http://schemas.openxmlformats.org/officeDocument/2006/relationships/hyperlink" Target="https://transparencia.causp.gov.br/wp-content/uploads/10.-ANEXO-X-Declara&#231;&#227;o-art.-33-Decreto-8726-2016.doc" TargetMode="External"/><Relationship Id="rId15" Type="http://schemas.openxmlformats.org/officeDocument/2006/relationships/hyperlink" Target="https://transparencia.causp.gov.br/wp-content/uploads/11.-ANEXO-XI-Declara&#231;&#227;o-de-recebimento-de-repasse-de-recurso.doc" TargetMode="External"/><Relationship Id="rId16" Type="http://schemas.openxmlformats.org/officeDocument/2006/relationships/hyperlink" Target="https://transparencia.causp.gov.br/wp-content/uploads/12.-ANEXO-XII-Manual-Presta&#231;&#227;o-Contas.doc" TargetMode="External"/><Relationship Id="rId17" Type="http://schemas.openxmlformats.org/officeDocument/2006/relationships/hyperlink" Target="https://transparencia.causp.gov.br/wp-content/uploads/13.-ANEXO-XII-Apenso-1-Relat&#243;rio-Final-Execu&#231;&#227;o-do-Objeto.docx" TargetMode="External"/><Relationship Id="rId18" Type="http://schemas.openxmlformats.org/officeDocument/2006/relationships/hyperlink" Target="https://transparencia.causp.gov.br/wp-content/uploads/14.-ANEXO-XII-Apenso-2-Relat&#243;rio-Final-Execu&#231;&#227;o-Financeira.docx" TargetMode="External"/><Relationship Id="rId19" Type="http://schemas.openxmlformats.org/officeDocument/2006/relationships/hyperlink" Target="https://transparencia.causp.gov.br/wp-content/uploads/15.-ANEXO-XIII-Minuta-Termo-de-Fomento.doc" TargetMode="External"/><Relationship Id="rId20" Type="http://schemas.openxmlformats.org/officeDocument/2006/relationships/hyperlink" Target="https://transparencia.causp.gov.br/wp-content/uploads/16.-ANEXO-XIV-Cronograma-2&#170;-Publica&#231;&#227;o.docx"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7FCE-1FA4-4D97-8AA3-B68B373F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LibreOffice/7.1.3.2$Windows_X86_64 LibreOffice_project/47f78053abe362b9384784d31a6e56f8511eb1c1</Application>
  <AppVersion>15.0000</AppVersion>
  <Pages>23</Pages>
  <Words>9579</Words>
  <Characters>53390</Characters>
  <CharactersWithSpaces>62289</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2022-10-03T18:03:00Z</dcterms:created>
  <dc:creator>user</dc:creator>
  <dc:description/>
  <dc:language>pt-BR</dc:language>
  <cp:lastModifiedBy/>
  <cp:lastPrinted>2019-09-13T13:19:00Z</cp:lastPrinted>
  <dcterms:modified xsi:type="dcterms:W3CDTF">2022-10-03T16:50:22Z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