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EDITAL DE CHAMAMENTO PÚBLICO Nº 003/2022</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ASSISTÊNCIA TÉCNICA PARA A HABITAÇÃO DE INTERESSE SOCIAL</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ATHIS –</w:t>
      </w:r>
      <w:bookmarkStart w:id="0" w:name="_GoBack"/>
      <w:bookmarkEnd w:id="0"/>
    </w:p>
    <w:p>
      <w:pPr>
        <w:pStyle w:val="Normal"/>
        <w:spacing w:lineRule="auto" w:line="264"/>
        <w:rPr>
          <w:sz w:val="22"/>
          <w:szCs w:val="22"/>
        </w:rPr>
      </w:pPr>
      <w:r>
        <w:rPr>
          <w:sz w:val="22"/>
          <w:szCs w:val="22"/>
        </w:rPr>
      </w:r>
    </w:p>
    <w:p>
      <w:pPr>
        <w:pStyle w:val="Normal"/>
        <w:spacing w:lineRule="auto" w:line="264"/>
        <w:jc w:val="both"/>
        <w:rPr>
          <w:sz w:val="22"/>
          <w:szCs w:val="22"/>
        </w:rPr>
      </w:pPr>
      <w:r>
        <w:rPr>
          <w:sz w:val="22"/>
          <w:szCs w:val="22"/>
        </w:rPr>
        <w:t>O Conselho de Arquitetura e Urbanismo do Paraná – CAU/PR, Autarquia Federal criada pela da Lei nº 12.378, de 31 de dezembro de 2010, dotada de personalidade jurídica de direito público, TORNA PÚBLICO O PRESENTE CHAMAMENTO, sob a regência das Leis Federais n° 13.019/2014, Decreto nº 8.726/2016 e 12.378/2010, Deliberação Plenária CAU/PR n° 0099-08/2019, de 27 de agosto de 2019,</w:t>
      </w:r>
      <w:r>
        <w:rPr>
          <w:color w:val="FF0000"/>
          <w:sz w:val="22"/>
          <w:szCs w:val="22"/>
        </w:rPr>
        <w:t xml:space="preserve"> </w:t>
      </w:r>
      <w:r>
        <w:rPr>
          <w:sz w:val="22"/>
          <w:szCs w:val="22"/>
        </w:rPr>
        <w:t>e demais normas vigentes pertinentes à matéria, com a finalidade de selecionar Organizações da Sociedade Civil (OSC) para firmar parceria, por meio de Termo de Fomento, para o desenvolvimento e a execução de projetos de Apoio à Assistência Técnica Habitacional de Interesse Social (ATHIS), conforme as condições estabelecidas neste Edital e seus anexos.</w:t>
      </w:r>
    </w:p>
    <w:p>
      <w:pPr>
        <w:pStyle w:val="ListParagraph"/>
        <w:spacing w:lineRule="auto" w:line="264"/>
        <w:ind w:left="0" w:hanging="0"/>
        <w:jc w:val="both"/>
        <w:rPr>
          <w:rFonts w:ascii="Times New Roman" w:hAnsi="Times New Roman"/>
          <w:color w:val="FF0000"/>
          <w:sz w:val="22"/>
          <w:szCs w:val="22"/>
        </w:rPr>
      </w:pPr>
      <w:r>
        <w:rPr>
          <w:rFonts w:ascii="Times New Roman" w:hAnsi="Times New Roman"/>
          <w:color w:val="FF0000"/>
          <w:sz w:val="22"/>
          <w:szCs w:val="22"/>
        </w:rPr>
      </w:r>
    </w:p>
    <w:p>
      <w:pPr>
        <w:pStyle w:val="ListParagraph"/>
        <w:numPr>
          <w:ilvl w:val="0"/>
          <w:numId w:val="2"/>
        </w:numPr>
        <w:spacing w:before="0" w:after="240"/>
        <w:ind w:left="567" w:hanging="567"/>
        <w:jc w:val="both"/>
        <w:rPr>
          <w:rFonts w:ascii="Times New Roman" w:hAnsi="Times New Roman"/>
          <w:b/>
          <w:b/>
          <w:sz w:val="22"/>
          <w:szCs w:val="22"/>
        </w:rPr>
      </w:pPr>
      <w:r>
        <w:rPr>
          <w:rFonts w:ascii="Times New Roman" w:hAnsi="Times New Roman"/>
          <w:b/>
          <w:sz w:val="22"/>
          <w:szCs w:val="22"/>
        </w:rPr>
        <w:t>DO OBJETO</w:t>
      </w:r>
    </w:p>
    <w:p>
      <w:pPr>
        <w:pStyle w:val="ListParagraph"/>
        <w:numPr>
          <w:ilvl w:val="1"/>
          <w:numId w:val="2"/>
        </w:numPr>
        <w:spacing w:before="120" w:after="0"/>
        <w:ind w:left="567" w:hanging="567"/>
        <w:jc w:val="both"/>
        <w:rPr>
          <w:rFonts w:ascii="Times New Roman" w:hAnsi="Times New Roman"/>
          <w:sz w:val="22"/>
          <w:szCs w:val="22"/>
        </w:rPr>
      </w:pPr>
      <w:r>
        <w:rPr>
          <w:rFonts w:ascii="Times New Roman" w:hAnsi="Times New Roman"/>
          <w:sz w:val="22"/>
          <w:szCs w:val="22"/>
        </w:rPr>
        <w:t xml:space="preserve">Este Chamamento Público tem por objeto a seleção de Organizações da Sociedade Civil (OSC) para firmar parceria com o Conselho de Arquitetura e Urbanismo de Paraná – CAU/PR, por meio de Termo de Fomento, para o desenvolvimento e a execução de projeto </w:t>
      </w:r>
      <w:r>
        <w:rPr>
          <w:rFonts w:ascii="Times New Roman" w:hAnsi="Times New Roman"/>
          <w:color w:val="000000"/>
          <w:sz w:val="22"/>
          <w:szCs w:val="22"/>
        </w:rPr>
        <w:t>que vise contribuir com o</w:t>
      </w:r>
      <w:r>
        <w:rPr>
          <w:rFonts w:ascii="Times New Roman" w:hAnsi="Times New Roman"/>
          <w:sz w:val="22"/>
          <w:szCs w:val="22"/>
        </w:rPr>
        <w:t xml:space="preserve"> Apoio à Assistência Técnica Habitacional de Interesse Social (ATHIS), nos termos da Lei nº 11.888, de 24 de dezembro de 2008, observadas as regras gerais a seguir indicadas: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pPr>
        <w:pStyle w:val="ListParagraph"/>
        <w:numPr>
          <w:ilvl w:val="2"/>
          <w:numId w:val="2"/>
        </w:numPr>
        <w:spacing w:lineRule="auto" w:line="264" w:before="120" w:after="0"/>
        <w:ind w:left="1021" w:hanging="567"/>
        <w:jc w:val="both"/>
        <w:rPr>
          <w:rFonts w:ascii="Times New Roman" w:hAnsi="Times New Roman"/>
          <w:sz w:val="22"/>
          <w:szCs w:val="22"/>
        </w:rPr>
      </w:pPr>
      <w:r>
        <w:rPr>
          <w:rFonts w:ascii="Times New Roman" w:hAnsi="Times New Roman"/>
          <w:sz w:val="22"/>
          <w:szCs w:val="22"/>
        </w:rPr>
        <w:t>A apresentação de projetos referentes ao objeto deste Edital deverá observar o art. 7º da Deliberação Plenária CAU/PR N° 0099-08/2019, de 27 de agosto de 2019, nos seguintes termos:</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Informar, educar e difundir os conhecimentos e/ou a troca de experiências com vista à Assistência Técnica para Habitação de Interesse Social (ATHIS).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Os projetos não poderão ter objeto que envolva ou inclua, direta ou indiretamente, delegação das funções de regulação, de fiscalização, de exercício do poder de polícia ou de outras atividades exclusivas de Estado.</w:t>
      </w:r>
    </w:p>
    <w:p>
      <w:pPr>
        <w:pStyle w:val="ListParagraph"/>
        <w:numPr>
          <w:ilvl w:val="2"/>
          <w:numId w:val="2"/>
        </w:numPr>
        <w:suppressAutoHyphens w:val="false"/>
        <w:spacing w:lineRule="auto" w:line="264" w:before="60" w:after="0"/>
        <w:ind w:left="1021" w:hanging="567"/>
        <w:jc w:val="both"/>
        <w:rPr>
          <w:rFonts w:ascii="Times New Roman" w:hAnsi="Times New Roman"/>
          <w:sz w:val="22"/>
          <w:szCs w:val="22"/>
        </w:rPr>
      </w:pPr>
      <w:r>
        <w:rPr>
          <w:rFonts w:ascii="Times New Roman" w:hAnsi="Times New Roman"/>
          <w:sz w:val="22"/>
          <w:szCs w:val="22"/>
        </w:rPr>
        <w:t xml:space="preserve">Os projetos </w:t>
      </w:r>
      <w:r>
        <w:rPr>
          <w:rFonts w:ascii="Times New Roman" w:hAnsi="Times New Roman"/>
          <w:color w:val="000000"/>
          <w:sz w:val="22"/>
          <w:szCs w:val="22"/>
        </w:rPr>
        <w:t>de capacitação profissional, residência ou extensão universitária na área de arquitetura e urbanismo devem prever</w:t>
      </w:r>
      <w:r>
        <w:rPr>
          <w:rFonts w:ascii="Times New Roman" w:hAnsi="Times New Roman"/>
          <w:color w:val="FF0000"/>
          <w:sz w:val="22"/>
          <w:szCs w:val="22"/>
        </w:rPr>
        <w:t xml:space="preserve"> </w:t>
      </w:r>
      <w:r>
        <w:rPr>
          <w:rFonts w:ascii="Times New Roman" w:hAnsi="Times New Roman"/>
          <w:sz w:val="22"/>
          <w:szCs w:val="22"/>
        </w:rPr>
        <w:t xml:space="preserve">a busca de inovação tecnológica, a formulação de metodologias de caráter participativo e a democratização do conhecimento (artigo 5º </w:t>
      </w:r>
      <w:r>
        <w:rPr>
          <w:rFonts w:ascii="Times New Roman" w:hAnsi="Times New Roman"/>
          <w:color w:val="000000"/>
          <w:sz w:val="22"/>
          <w:szCs w:val="22"/>
        </w:rPr>
        <w:t>e</w:t>
      </w:r>
      <w:r>
        <w:rPr>
          <w:rFonts w:ascii="Times New Roman" w:hAnsi="Times New Roman"/>
          <w:sz w:val="22"/>
          <w:szCs w:val="22"/>
        </w:rPr>
        <w:t xml:space="preserve"> parágrafo único, da Lei n.º 11.888/2008).</w:t>
      </w:r>
    </w:p>
    <w:p>
      <w:pPr>
        <w:pStyle w:val="ListParagraph"/>
        <w:numPr>
          <w:ilvl w:val="0"/>
          <w:numId w:val="4"/>
        </w:numPr>
        <w:suppressAutoHyphens w:val="false"/>
        <w:spacing w:lineRule="auto" w:line="264" w:before="40" w:after="0"/>
        <w:ind w:left="1588" w:hanging="567"/>
        <w:jc w:val="both"/>
        <w:rPr/>
      </w:pPr>
      <w:r>
        <w:rPr>
          <w:rFonts w:ascii="Times New Roman" w:hAnsi="Times New Roman"/>
          <w:sz w:val="22"/>
          <w:szCs w:val="22"/>
        </w:rPr>
        <w:t>Os projetos deverão contemplar o desenvolvimento de serviços técnicos voltados à Assistência Técnica para Habitação de Interesse Social, destinados à famílias de baixa renda, residentes em áreas urbanas ou rurais, com renda mensal de até 3 (três) salários mínimos (artigo 2º, da Lei n.º 11.888/2008).</w:t>
      </w:r>
    </w:p>
    <w:p>
      <w:pPr>
        <w:pStyle w:val="ListParagraph"/>
        <w:numPr>
          <w:ilvl w:val="3"/>
          <w:numId w:val="2"/>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de seleção da comunidade usuária ou da comprovação do seu enquadramento como comunidade beneficiária deverão ser consultados os sistemas de atendimento implantados por órgãos colegiados municipais, nos termos do § 4º, do artigo 3º, da Lei n.º 11.888/2008, assim como fontes primárias de órgãos oficiais.</w:t>
      </w:r>
    </w:p>
    <w:p>
      <w:pPr>
        <w:pStyle w:val="ListParagraph"/>
        <w:numPr>
          <w:ilvl w:val="3"/>
          <w:numId w:val="2"/>
        </w:numPr>
        <w:spacing w:lineRule="auto" w:line="264" w:before="40" w:after="0"/>
        <w:ind w:left="1474" w:hanging="567"/>
        <w:jc w:val="both"/>
        <w:rPr/>
      </w:pPr>
      <w:r>
        <w:rPr>
          <w:rFonts w:ascii="Times New Roman" w:hAnsi="Times New Roman"/>
          <w:sz w:val="22"/>
          <w:szCs w:val="22"/>
        </w:rPr>
        <w:t>O desenvolvimento de serviços técnicos voltados à Assistência Técnica para Habitação de Interesse Social, prevista na alínea “g”, do item 1.1.5, se refere a um estudo de caso que deverá ser realizado com base em um caso concreto à escolha do proponente, em uma das políticas urbanas abaixo especificadas, tendo como escopo a apresentação de estudos, planos ou projetos, e contendo métodos ou ações possíveis para efetivação da execução da assistência técnica.</w:t>
      </w:r>
    </w:p>
    <w:p>
      <w:pPr>
        <w:pStyle w:val="ListParagraph"/>
        <w:numPr>
          <w:ilvl w:val="4"/>
          <w:numId w:val="2"/>
        </w:numPr>
        <w:spacing w:lineRule="auto" w:line="264" w:before="40" w:after="0"/>
        <w:jc w:val="both"/>
        <w:rPr/>
      </w:pPr>
      <w:r>
        <w:rPr>
          <w:rFonts w:ascii="Times New Roman" w:hAnsi="Times New Roman"/>
          <w:b/>
          <w:sz w:val="22"/>
          <w:szCs w:val="22"/>
        </w:rPr>
        <w:t xml:space="preserve">Produção habitacional autogestionária: </w:t>
      </w:r>
      <w:r>
        <w:rPr>
          <w:rFonts w:ascii="Times New Roman" w:hAnsi="Times New Roman"/>
          <w:sz w:val="22"/>
          <w:szCs w:val="22"/>
        </w:rPr>
        <w:t>Ações de assistência técnica em habitação de interesse social junto a movimentos por moradia organizados, associações ou grupos de moradores ainda não institucionalizados (que ainda não estejam aptos para participar de programas públicos de financiamento à produção habitacional).</w:t>
      </w:r>
    </w:p>
    <w:p>
      <w:pPr>
        <w:pStyle w:val="ListParagraph"/>
        <w:numPr>
          <w:ilvl w:val="4"/>
          <w:numId w:val="2"/>
        </w:numPr>
        <w:spacing w:lineRule="auto" w:line="264" w:before="40" w:after="0"/>
        <w:jc w:val="both"/>
        <w:rPr/>
      </w:pPr>
      <w:r>
        <w:rPr>
          <w:rFonts w:ascii="Times New Roman" w:hAnsi="Times New Roman"/>
          <w:b/>
          <w:sz w:val="22"/>
          <w:szCs w:val="22"/>
        </w:rPr>
        <w:t xml:space="preserve">Melhorias habitacionais em assentamentos humanos, urbanos ou rurais: </w:t>
      </w:r>
      <w:r>
        <w:rPr>
          <w:rFonts w:ascii="Times New Roman" w:hAnsi="Times New Roman"/>
          <w:sz w:val="22"/>
          <w:szCs w:val="22"/>
        </w:rPr>
        <w:t>Ações de assistência técnica em habitação de interesse social em processos de urbanização ou regularização fundiária de assentamentos humanos, urbanos ou rurais, onde sejam identificadas precariedades habitacionais ou de infraestrutura. As ações devem se voltar a setores e moradias “consolidados” ou “consolidáveis” (ou seja, setores e moradias que não sofrerão remoções em intervenções futuras para eliminação de riscos, adequação ambiental ou implantação de infraestrutura) e visam a qualificar a autoconstrução ou o auto empreendimento habitacional, enfrentar patologias construtivas e precariedades. Esse campo de atuação deve ser tratado e apresentado como um problema coletivo (ainda que sejam soluções individuais) e aderente ao território, como um serviço com a perspectiva de universalização.</w:t>
      </w:r>
    </w:p>
    <w:p>
      <w:pPr>
        <w:pStyle w:val="ListParagraph"/>
        <w:numPr>
          <w:ilvl w:val="4"/>
          <w:numId w:val="2"/>
        </w:numPr>
        <w:spacing w:lineRule="auto" w:line="264" w:before="40" w:after="0"/>
        <w:jc w:val="both"/>
        <w:rPr/>
      </w:pPr>
      <w:r>
        <w:rPr>
          <w:rFonts w:ascii="Times New Roman" w:hAnsi="Times New Roman"/>
          <w:b/>
          <w:sz w:val="22"/>
          <w:szCs w:val="22"/>
        </w:rPr>
        <w:t>Melhorias em edificações que abrigam equipamentos de uso comunitário</w:t>
      </w:r>
      <w:r>
        <w:rPr>
          <w:rFonts w:ascii="Times New Roman" w:hAnsi="Times New Roman"/>
          <w:sz w:val="22"/>
          <w:szCs w:val="22"/>
        </w:rPr>
        <w:t xml:space="preserve">: projetos de ampliação, mobiliário, solução de patologias construtivas, melhoria das condições de higiene e salubridade em edificações que abrigam equipamentos de uso coletivo relevantes para determinado território, tais como, por exemplo, associações de moradores, bibliotecas comunitárias, espaços de convivência. </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Na execução do objeto deverá ser assegurado o devido Registro de Responsabilidade Técnica, quando cabível.</w:t>
      </w:r>
    </w:p>
    <w:p>
      <w:pPr>
        <w:pStyle w:val="ListParagraph"/>
        <w:numPr>
          <w:ilvl w:val="2"/>
          <w:numId w:val="2"/>
        </w:numPr>
        <w:suppressAutoHyphens w:val="false"/>
        <w:spacing w:lineRule="auto" w:line="264" w:before="120" w:after="0"/>
        <w:ind w:left="1021" w:hanging="567"/>
        <w:jc w:val="both"/>
        <w:rPr/>
      </w:pPr>
      <w:r>
        <w:rPr>
          <w:rFonts w:ascii="Times New Roman" w:hAnsi="Times New Roman"/>
          <w:sz w:val="22"/>
          <w:szCs w:val="22"/>
        </w:rPr>
        <w:t xml:space="preserve">No caso de execução de obras civis, deverá ser assegurado o devido Registro de Responsabilidade Técnica de execução da obra. </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Ao final da elaboração do projeto, deverá ser apresentado, quando da Prestação de Contas, Relatório Final contendo uma análise crítica referente aos entraves encontrados, visando futura multiplicação (indução) do projeto apresentado.</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pPr>
        <w:pStyle w:val="ListParagraph"/>
        <w:spacing w:before="120" w:after="0"/>
        <w:ind w:left="0"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0" w:after="0"/>
        <w:ind w:left="0" w:hanging="0"/>
        <w:jc w:val="both"/>
        <w:rPr>
          <w:rFonts w:ascii="Times New Roman" w:hAnsi="Times New Roman"/>
          <w:b/>
          <w:b/>
          <w:sz w:val="22"/>
          <w:szCs w:val="22"/>
        </w:rPr>
      </w:pPr>
      <w:r>
        <w:rPr>
          <w:rFonts w:ascii="Times New Roman" w:hAnsi="Times New Roman"/>
          <w:b/>
          <w:sz w:val="22"/>
          <w:szCs w:val="22"/>
        </w:rPr>
        <w:t>DAS DEFINIÇÕES</w:t>
      </w:r>
    </w:p>
    <w:p>
      <w:pPr>
        <w:pStyle w:val="Normal"/>
        <w:jc w:val="both"/>
        <w:rPr>
          <w:vanish/>
          <w:sz w:val="22"/>
          <w:szCs w:val="22"/>
        </w:rPr>
      </w:pPr>
      <w:r>
        <w:rPr>
          <w:vanish/>
          <w:sz w:val="22"/>
          <w:szCs w:val="22"/>
        </w:rPr>
      </w:r>
    </w:p>
    <w:p>
      <w:pPr>
        <w:pStyle w:val="ListParagraph"/>
        <w:numPr>
          <w:ilvl w:val="1"/>
          <w:numId w:val="1"/>
        </w:numPr>
        <w:spacing w:lineRule="auto" w:line="264" w:before="120" w:after="0"/>
        <w:ind w:left="567" w:hanging="567"/>
        <w:jc w:val="both"/>
        <w:rPr>
          <w:rFonts w:ascii="Times New Roman" w:hAnsi="Times New Roman"/>
          <w:sz w:val="22"/>
          <w:szCs w:val="22"/>
        </w:rPr>
      </w:pPr>
      <w:r>
        <w:rPr>
          <w:rFonts w:ascii="Times New Roman" w:hAnsi="Times New Roman"/>
          <w:sz w:val="22"/>
          <w:szCs w:val="22"/>
        </w:rPr>
        <w:t>Para fins deste edital, entende-se por: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Chamamento público: procedimento destinado a organização da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Organização da sociedade civil:</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Projeto: conjunto de operações, limitadas no tempo, das quais resulta um produto destinado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Dirigente: pessoa que detenha poderes de administração, gestão ou controle da organização da sociedade civil, habilitada a assinar termo de fomento ou termo de colaboração com o CAU/PR, para a consecução de finalidade de interesse público e recíproco, ainda que delegue essa competência a terceiros;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 xml:space="preserve">Comissão de seleção: órgão colegiado 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Comissão de monitoramento e avaliação: órgão colegiado destinado a monitorar e avaliar as parcerias celebradas com organizações da sociedade civil mediante termo de fomento, constituído por ato publicado em meio oficial de comunicação, 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pPr>
        <w:pStyle w:val="ListParagraph"/>
        <w:suppressAutoHyphens w:val="false"/>
        <w:spacing w:lineRule="auto" w:line="264" w:before="120" w:after="120"/>
        <w:ind w:left="1701" w:hanging="0"/>
        <w:jc w:val="both"/>
        <w:rPr>
          <w:rFonts w:ascii="Times New Roman" w:hAnsi="Times New Roman"/>
          <w:sz w:val="22"/>
          <w:szCs w:val="22"/>
          <w:highlight w:val="yellow"/>
        </w:rPr>
      </w:pPr>
      <w:r>
        <w:rPr>
          <w:rFonts w:ascii="Times New Roman" w:hAnsi="Times New Roman"/>
          <w:sz w:val="22"/>
          <w:szCs w:val="22"/>
          <w:highlight w:val="yellow"/>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 DESPESA E DOS RECURSOS ORÇAMENTÁRIOS</w:t>
      </w:r>
    </w:p>
    <w:p>
      <w:pPr>
        <w:pStyle w:val="ListParagraph"/>
        <w:ind w:left="0" w:hanging="0"/>
        <w:jc w:val="both"/>
        <w:rPr>
          <w:rFonts w:ascii="Times New Roman" w:hAnsi="Times New Roman"/>
          <w:b/>
          <w:b/>
          <w:sz w:val="22"/>
          <w:szCs w:val="22"/>
        </w:rPr>
      </w:pPr>
      <w:r>
        <w:rPr>
          <w:rFonts w:ascii="Times New Roman" w:hAnsi="Times New Roman"/>
          <w:b/>
          <w:sz w:val="22"/>
          <w:szCs w:val="22"/>
        </w:rPr>
      </w:r>
    </w:p>
    <w:p>
      <w:pPr>
        <w:pStyle w:val="ListParagraph"/>
        <w:numPr>
          <w:ilvl w:val="1"/>
          <w:numId w:val="2"/>
        </w:numPr>
        <w:ind w:left="567" w:hanging="567"/>
        <w:jc w:val="both"/>
        <w:rPr>
          <w:rFonts w:ascii="Times New Roman" w:hAnsi="Times New Roman"/>
          <w:b/>
          <w:b/>
          <w:sz w:val="22"/>
          <w:szCs w:val="22"/>
        </w:rPr>
      </w:pPr>
      <w:r>
        <w:rPr>
          <w:rFonts w:ascii="Times New Roman" w:hAnsi="Times New Roman"/>
          <w:sz w:val="22"/>
          <w:szCs w:val="22"/>
        </w:rPr>
        <w:t xml:space="preserve">A despesa com a execução das parcerias a serem firmadas, nos termos deste Edital e previstos no Plano de Ação e Orçamento do CAU/PR para 2022, são do montante </w:t>
      </w:r>
      <w:r>
        <w:rPr>
          <w:rFonts w:ascii="Times New Roman" w:hAnsi="Times New Roman"/>
          <w:color w:val="000000"/>
          <w:sz w:val="22"/>
          <w:szCs w:val="22"/>
        </w:rPr>
        <w:t>de R$ 100.000,00 (cem mil reais).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Dotação Orçamentária para a despesa prevista, relativa ao exercício de 2022, advirá do Centro de Custo 4.02.05.2.03 - PROJETOS GERÊNCIA DE FISCALIZAÇÃO – ATHIS, Conta Orçamentária 6.2.2.1.1.01.07.02.002 – Convênios, Acordos e Ajuda a Entidades.</w:t>
      </w:r>
    </w:p>
    <w:p>
      <w:pPr>
        <w:pStyle w:val="ListParagraph"/>
        <w:suppressAutoHyphens w:val="false"/>
        <w:spacing w:before="120" w:after="120"/>
        <w:ind w:left="1134" w:right="108"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DAS CONDIÇÕES DE PARTICIPAÇÃO</w:t>
      </w:r>
    </w:p>
    <w:p>
      <w:pPr>
        <w:pStyle w:val="ListParagraph"/>
        <w:ind w:left="0" w:hanging="0"/>
        <w:jc w:val="both"/>
        <w:rPr>
          <w:rFonts w:ascii="Times New Roman" w:hAnsi="Times New Roman"/>
          <w:vanish/>
          <w:sz w:val="22"/>
          <w:szCs w:val="22"/>
        </w:rPr>
      </w:pPr>
      <w:r>
        <w:rPr>
          <w:rFonts w:ascii="Times New Roman" w:hAnsi="Times New Roman"/>
          <w:vanish/>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entidades privadas, sem fins lucrativos</w:t>
      </w:r>
      <w:r>
        <w:rPr>
          <w:rFonts w:ascii="Times New Roman" w:hAnsi="Times New Roman"/>
          <w:sz w:val="22"/>
          <w:szCs w:val="22"/>
        </w:rPr>
        <w:t>, que preencham, além do disposto na Lei nº 13.019/14, os seguintes requisitos: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estejam impedidas de celebrar parcerias com a Administração Pública Federal (Art. 39 da Lei nº 13.019/14);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sz w:val="22"/>
          <w:szCs w:val="22"/>
        </w:rPr>
      </w:r>
    </w:p>
    <w:p>
      <w:pPr>
        <w:pStyle w:val="ListParagraph"/>
        <w:numPr>
          <w:ilvl w:val="1"/>
          <w:numId w:val="2"/>
        </w:numPr>
        <w:spacing w:lineRule="auto" w:line="264" w:before="120" w:after="0"/>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municípios do Estado do Paraná</w:t>
      </w:r>
      <w:r>
        <w:rPr>
          <w:rFonts w:ascii="Times New Roman" w:hAnsi="Times New Roman"/>
          <w:sz w:val="22"/>
          <w:szCs w:val="22"/>
        </w:rPr>
        <w:t>, que:</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b/>
          <w:b/>
          <w:sz w:val="22"/>
          <w:szCs w:val="22"/>
        </w:rPr>
      </w:pPr>
      <w:r>
        <w:rPr>
          <w:rFonts w:ascii="Times New Roman" w:hAnsi="Times New Roman"/>
          <w:sz w:val="22"/>
          <w:szCs w:val="22"/>
        </w:rPr>
        <w:t>Possuam, entre seus servidores efetivos, arquiteto e urbanista concursado para atuar como responsável pelo projeto;</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sz w:val="22"/>
          <w:szCs w:val="22"/>
        </w:rPr>
      </w:pPr>
      <w:r>
        <w:rPr>
          <w:rFonts w:ascii="Times New Roman" w:hAnsi="Times New Roman"/>
          <w:sz w:val="22"/>
          <w:szCs w:val="22"/>
        </w:rPr>
        <w:t xml:space="preserve">Possuam Certificado de Regularidade Previdenciária (CRP) ativo; </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sz w:val="22"/>
          <w:szCs w:val="22"/>
        </w:rPr>
      </w:pPr>
      <w:r>
        <w:rPr>
          <w:rFonts w:ascii="Times New Roman" w:hAnsi="Times New Roman"/>
          <w:sz w:val="22"/>
          <w:szCs w:val="22"/>
        </w:rPr>
        <w:t>Regularidade fiscal e sem restrições do Tribunal de Contas do Estado do Paraná e da União;</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sz w:val="22"/>
          <w:szCs w:val="22"/>
        </w:rPr>
      </w:pPr>
      <w:r>
        <w:rPr>
          <w:rFonts w:ascii="Times New Roman" w:hAnsi="Times New Roman"/>
          <w:sz w:val="22"/>
          <w:szCs w:val="22"/>
        </w:rPr>
        <w:t>Acatem a aplicação do presente edital e termos sem restrições ou reservas.</w:t>
      </w:r>
    </w:p>
    <w:p>
      <w:pPr>
        <w:pStyle w:val="Normal"/>
        <w:spacing w:lineRule="auto" w:line="264" w:before="120" w:after="0"/>
        <w:jc w:val="both"/>
        <w:rPr>
          <w:b/>
          <w:b/>
          <w:sz w:val="22"/>
          <w:szCs w:val="22"/>
        </w:rPr>
      </w:pPr>
      <w:r>
        <w:rPr>
          <w:b/>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Não poderá participar do Chamamento a Organização da Sociedade Civil que, nos termos do artigo 39 da Lei nº 13.019/2014: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reconsiderada ou revista a decisão pela rejeição;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apreciação das contas estiver pendente de decisão sobre recurso com efeito suspensivo.</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licitar ou contratar com a administração pública;</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entre seus dirigentes: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julgada responsável por falta grave e inabilitada para o exercício de cargo em comissão ou função de confiança, enquanto durar a inabilitação;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r>
        <w:fldChar w:fldCharType="begin"/>
      </w:r>
      <w:r>
        <w:rPr>
          <w:sz w:val="22"/>
          <w:szCs w:val="22"/>
          <w:rFonts w:ascii="Times New Roman" w:hAnsi="Times New Roman"/>
        </w:rPr>
        <w:instrText> HYPERLINK "http://www.planalto.gov.br/ccivil_03/LEIS/L8429.htm" \l "art12i"</w:instrText>
      </w:r>
      <w:r>
        <w:rPr>
          <w:sz w:val="22"/>
          <w:szCs w:val="22"/>
          <w:rFonts w:ascii="Times New Roman" w:hAnsi="Times New Roman"/>
        </w:rPr>
        <w:fldChar w:fldCharType="separate"/>
      </w:r>
      <w:r>
        <w:rPr>
          <w:rFonts w:ascii="Times New Roman" w:hAnsi="Times New Roman"/>
          <w:sz w:val="22"/>
          <w:szCs w:val="22"/>
        </w:rPr>
        <w:t xml:space="preserve"> incisos I, II e III do art. 12 da Lei no 8.429, de 2 de junho de 1992;</w:t>
      </w:r>
      <w:r>
        <w:rPr>
          <w:sz w:val="22"/>
          <w:szCs w:val="22"/>
          <w:rFonts w:ascii="Times New Roman" w:hAnsi="Times New Roman"/>
        </w:rPr>
        <w:fldChar w:fldCharType="end"/>
      </w:r>
    </w:p>
    <w:p>
      <w:pPr>
        <w:pStyle w:val="Normal"/>
        <w:suppressAutoHyphens w:val="true"/>
        <w:spacing w:lineRule="auto" w:line="264" w:before="121" w:after="0"/>
        <w:jc w:val="both"/>
        <w:rPr/>
      </w:pPr>
      <w:r>
        <w:rPr>
          <w:color w:val="000000"/>
          <w:sz w:val="22"/>
          <w:szCs w:val="22"/>
        </w:rPr>
        <w:t>4.2.8 É vedada a participação de servidores ou dirigentes do CAU/PR no projeto a ser apoiado, bem como seus cônjuges, companheiros ou parentes até segundo grau;</w:t>
      </w:r>
    </w:p>
    <w:p>
      <w:pPr>
        <w:pStyle w:val="Normal"/>
        <w:suppressAutoHyphens w:val="true"/>
        <w:spacing w:lineRule="auto" w:line="264" w:before="121" w:after="0"/>
        <w:jc w:val="both"/>
        <w:rPr/>
      </w:pPr>
      <w:r>
        <w:rPr>
          <w:color w:val="000000"/>
          <w:sz w:val="22"/>
          <w:szCs w:val="22"/>
        </w:rPr>
        <w:t xml:space="preserve">       </w:t>
      </w:r>
      <w:r>
        <w:rPr>
          <w:color w:val="000000"/>
          <w:sz w:val="22"/>
          <w:szCs w:val="22"/>
        </w:rPr>
        <w:t>14.2.8.1. Entende-se por dirigentes do CAU/PR: presidente, vice-presidente e coordenadores</w:t>
        <w:br/>
        <w:t xml:space="preserve">de comissões.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parcerias deverão ser executadas nos termos deste Edital, sendo vedado, ainda: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participação neste processo implica a aceitação plena e irrevogável das normas deste Edital.</w:t>
      </w:r>
    </w:p>
    <w:p>
      <w:pPr>
        <w:pStyle w:val="ListParagraph"/>
        <w:suppressAutoHyphens w:val="false"/>
        <w:spacing w:lineRule="auto" w:line="264" w:before="120" w:after="0"/>
        <w:ind w:left="567"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PROJETOS</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szCs w:val="22"/>
        </w:rPr>
        <w:t>e na legislação em vigor.</w:t>
      </w:r>
    </w:p>
    <w:p>
      <w:pPr>
        <w:pStyle w:val="ListParagraph"/>
        <w:numPr>
          <w:ilvl w:val="1"/>
          <w:numId w:val="2"/>
        </w:numPr>
        <w:suppressAutoHyphens w:val="false"/>
        <w:spacing w:before="60" w:after="0"/>
        <w:ind w:left="567" w:hanging="567"/>
        <w:jc w:val="both"/>
        <w:rPr/>
      </w:pPr>
      <w:r>
        <w:rPr>
          <w:rFonts w:ascii="Times New Roman" w:hAnsi="Times New Roman"/>
          <w:sz w:val="22"/>
          <w:szCs w:val="22"/>
        </w:rPr>
        <w:t xml:space="preserve">Nos termos do art. 17, inciso II da Deliberação Plenária CAU/PR N° 0099-08/2019, de 27 de agosto de 2019, aos projetos apresentados será destinado o valor máximo de </w:t>
      </w:r>
      <w:r>
        <w:rPr>
          <w:rFonts w:ascii="Times New Roman" w:hAnsi="Times New Roman"/>
          <w:color w:val="000000"/>
          <w:sz w:val="22"/>
          <w:szCs w:val="22"/>
        </w:rPr>
        <w:t>R$ 100.000,00 (cem mil reais), sendo este valor de</w:t>
      </w:r>
      <w:r>
        <w:rPr>
          <w:rFonts w:ascii="Times New Roman" w:hAnsi="Times New Roman"/>
          <w:b/>
          <w:bCs/>
          <w:color w:val="000000"/>
          <w:sz w:val="22"/>
          <w:szCs w:val="22"/>
        </w:rPr>
        <w:t xml:space="preserve"> </w:t>
      </w:r>
      <w:r>
        <w:rPr>
          <w:rFonts w:ascii="Times New Roman" w:hAnsi="Times New Roman"/>
          <w:color w:val="000000"/>
          <w:sz w:val="22"/>
          <w:szCs w:val="22"/>
        </w:rPr>
        <w:t xml:space="preserve">uma cota única.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Não haverá limitação ao número de projetos de um mesmo proponente, desde que atendam ao objeto desta chamada pública e às exigências deste edital e normas pertinentes, devendo cada projeto ser apresentado separadamente.</w:t>
      </w:r>
    </w:p>
    <w:p>
      <w:pPr>
        <w:pStyle w:val="ListParagraph"/>
        <w:numPr>
          <w:ilvl w:val="1"/>
          <w:numId w:val="2"/>
        </w:numPr>
        <w:tabs>
          <w:tab w:val="clear" w:pos="708"/>
          <w:tab w:val="left" w:pos="567" w:leader="none"/>
        </w:tabs>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Somente são elegíveis projetos cuja execução não ultrapasse 12 (doze) meses a partir do recebimento da primeira parcela.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pPr>
        <w:pStyle w:val="ListParagraph"/>
        <w:suppressAutoHyphens w:val="false"/>
        <w:spacing w:before="60" w:after="0"/>
        <w:ind w:left="0"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color w:val="000000"/>
        </w:rPr>
      </w:pPr>
      <w:r>
        <w:rPr>
          <w:rFonts w:ascii="Times New Roman" w:hAnsi="Times New Roman"/>
          <w:b/>
          <w:color w:val="000000"/>
          <w:sz w:val="22"/>
          <w:szCs w:val="22"/>
        </w:rPr>
        <w:t>DAS PROPOSTAS</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As Organizações da Sociedade Civil interessadas em estabelecer a parceria, nos termos do presente edital, deverão apresentar a proposta do projeto, por meio do preenchimento das informações constantes do de Formulário de Apresentação de Projeto, Anexo I, do presente Edital.</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 xml:space="preserve">As despesas relacionadas à execução das propostas serão executadas nos termos do presente edital, sendo, a) admitidas: somente, as despesas previstas no Manual de Prestação de Contas – Anexo XI; b) vedadas: conforme artigo 45 da Lei nº 13.019/2015: </w:t>
      </w:r>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utilizar recursos para finalidade alheia ao objeto da parceria;</w:t>
      </w:r>
      <w:bookmarkStart w:id="1" w:name="art45ii"/>
      <w:bookmarkEnd w:id="1"/>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pPr>
        <w:pStyle w:val="Normal"/>
        <w:spacing w:lineRule="auto" w:line="264"/>
        <w:rPr>
          <w:color w:val="000000"/>
          <w:sz w:val="22"/>
          <w:szCs w:val="22"/>
        </w:rPr>
      </w:pPr>
      <w:r>
        <w:rPr>
          <w:color w:val="000000"/>
          <w:sz w:val="22"/>
          <w:szCs w:val="22"/>
        </w:rPr>
      </w:r>
    </w:p>
    <w:p>
      <w:pPr>
        <w:pStyle w:val="ListParagraph"/>
        <w:numPr>
          <w:ilvl w:val="0"/>
          <w:numId w:val="2"/>
        </w:numPr>
        <w:spacing w:before="121" w:after="0"/>
        <w:ind w:left="567" w:right="106" w:hanging="567"/>
        <w:jc w:val="both"/>
        <w:rPr>
          <w:color w:val="000000"/>
        </w:rPr>
      </w:pPr>
      <w:r>
        <w:rPr>
          <w:rFonts w:ascii="Times New Roman" w:hAnsi="Times New Roman"/>
          <w:b/>
          <w:color w:val="000000"/>
          <w:sz w:val="22"/>
          <w:szCs w:val="22"/>
        </w:rPr>
        <w:t>DA APRESENTAÇÃO DAS PROPOSTAS</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Os proponentes deverão encaminhar as propostas contendo o Formulário de Apresentação de Projeto – Anexo I, em envelopes fechados, opacos e indevassáveis, obrigatoriamente identificados, via correios, mediante postagem com A.R. (Aviso de Recebimento), ou entregar pessoalmente na sede do Conselho, na seguinte forma:</w:t>
      </w:r>
    </w:p>
    <w:p>
      <w:pPr>
        <w:pStyle w:val="ListParagraph"/>
        <w:suppressAutoHyphens w:val="false"/>
        <w:spacing w:lineRule="auto" w:line="264" w:before="120" w:after="0"/>
        <w:ind w:left="567" w:hanging="567"/>
        <w:jc w:val="both"/>
        <w:rPr>
          <w:color w:val="000000"/>
        </w:rPr>
      </w:pPr>
      <w:r>
        <w:rPr>
          <w:color w:val="000000"/>
        </w:rPr>
      </w:r>
    </w:p>
    <w:p>
      <w:pPr>
        <w:pStyle w:val="ListParagraph"/>
        <w:suppressAutoHyphens w:val="false"/>
        <w:spacing w:lineRule="auto" w:line="264" w:before="120" w:after="0"/>
        <w:ind w:left="567" w:hanging="567"/>
        <w:jc w:val="both"/>
        <w:rPr>
          <w:color w:val="000000"/>
        </w:rPr>
      </w:pPr>
      <w:r>
        <w:rPr>
          <w:color w:val="000000"/>
        </w:rPr>
        <mc:AlternateContent>
          <mc:Choice Requires="wps">
            <w:drawing>
              <wp:anchor behindDoc="0" distT="33655" distB="0" distL="147955" distR="112395" simplePos="0" locked="0" layoutInCell="0" allowOverlap="1" relativeHeight="27" wp14:anchorId="193887D8">
                <wp:simplePos x="0" y="0"/>
                <wp:positionH relativeFrom="margin">
                  <wp:align>center</wp:align>
                </wp:positionH>
                <wp:positionV relativeFrom="paragraph">
                  <wp:posOffset>906780</wp:posOffset>
                </wp:positionV>
                <wp:extent cx="5655310" cy="1643380"/>
                <wp:effectExtent l="0" t="0" r="23495" b="15875"/>
                <wp:wrapTopAndBottom/>
                <wp:docPr id="1" name="Caixa de texto 1_0"/>
                <a:graphic xmlns:a="http://schemas.openxmlformats.org/drawingml/2006/main">
                  <a:graphicData uri="http://schemas.microsoft.com/office/word/2010/wordprocessingShape">
                    <wps:wsp>
                      <wps:cNvSpPr/>
                      <wps:spPr>
                        <a:xfrm>
                          <a:off x="0" y="0"/>
                          <a:ext cx="5654520" cy="164268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1_0" path="m0,0l-2147483645,0l-2147483645,-2147483646l0,-2147483646xe" stroked="t" style="position:absolute;margin-left:4.1pt;margin-top:71.4pt;width:445.2pt;height:129.3pt;mso-wrap-style:square;v-text-anchor:top;mso-position-horizontal:center;mso-position-horizontal-relative:margin" wp14:anchorId="193887D8">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uppressAutoHyphens w:val="false"/>
        <w:spacing w:lineRule="auto" w:line="264" w:before="120" w:after="0"/>
        <w:ind w:left="567" w:hanging="567"/>
        <w:jc w:val="both"/>
        <w:rPr>
          <w:color w:val="000000"/>
        </w:rPr>
      </w:pPr>
      <w:r>
        <w:rPr>
          <w:color w:val="000000"/>
        </w:rPr>
      </w:r>
    </w:p>
    <w:p>
      <w:pPr>
        <w:pStyle w:val="ListParagraph"/>
        <w:suppressAutoHyphens w:val="false"/>
        <w:spacing w:lineRule="auto" w:line="264" w:before="120" w:after="0"/>
        <w:ind w:left="567" w:hanging="567"/>
        <w:jc w:val="both"/>
        <w:rPr>
          <w:color w:val="000000"/>
        </w:rPr>
      </w:pPr>
      <w:r>
        <w:rPr>
          <w:color w:val="000000"/>
        </w:rPr>
      </w:r>
    </w:p>
    <w:p>
      <w:pPr>
        <w:pStyle w:val="ListParagraph"/>
        <w:suppressAutoHyphens w:val="false"/>
        <w:spacing w:lineRule="auto" w:line="264" w:before="120" w:after="0"/>
        <w:ind w:left="567" w:hanging="567"/>
        <w:jc w:val="both"/>
        <w:rPr>
          <w:color w:val="000000"/>
        </w:rPr>
      </w:pPr>
      <w:r>
        <w:rPr>
          <w:color w:val="000000"/>
        </w:rPr>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Não será aceita outra forma de apresentação dos envelopes além da descrita no item 7.1, do presente Edital.</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Será considerado pelo CAU/PR, para efeito de comprovação da data de entrega do projeto na sede do Conselho, a data de recebimento conforme constará no A.R. dos Correios, ou a data do protocolo de entrega para os projetos entregues diretamente na sede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A data limite para a entrega das Propostas será dia </w:t>
      </w:r>
      <w:r>
        <w:rPr>
          <w:rFonts w:ascii="Times New Roman" w:hAnsi="Times New Roman"/>
          <w:b/>
          <w:bCs/>
          <w:sz w:val="22"/>
          <w:szCs w:val="22"/>
          <w:shd w:fill="auto" w:val="clear"/>
        </w:rPr>
        <w:t>02</w:t>
      </w:r>
      <w:r>
        <w:rPr>
          <w:rFonts w:ascii="Times New Roman" w:hAnsi="Times New Roman"/>
          <w:b/>
          <w:bCs/>
          <w:color w:val="000000"/>
          <w:sz w:val="22"/>
          <w:szCs w:val="22"/>
          <w:shd w:fill="auto" w:val="clear"/>
        </w:rPr>
        <w:t>/</w:t>
      </w:r>
      <w:r>
        <w:rPr>
          <w:rFonts w:ascii="Times New Roman" w:hAnsi="Times New Roman"/>
          <w:b/>
          <w:color w:val="000000"/>
          <w:sz w:val="22"/>
          <w:szCs w:val="22"/>
          <w:shd w:fill="auto" w:val="clear"/>
        </w:rPr>
        <w:t xml:space="preserve">11/2021, </w:t>
      </w:r>
      <w:r>
        <w:rPr>
          <w:rFonts w:ascii="Times New Roman" w:hAnsi="Times New Roman"/>
          <w:b/>
          <w:sz w:val="22"/>
          <w:szCs w:val="22"/>
          <w:shd w:fill="auto" w:val="clear"/>
        </w:rPr>
        <w:t>até às</w:t>
      </w:r>
      <w:r>
        <w:rPr>
          <w:rFonts w:ascii="Times New Roman" w:hAnsi="Times New Roman"/>
          <w:b/>
          <w:spacing w:val="-10"/>
          <w:sz w:val="22"/>
          <w:szCs w:val="22"/>
          <w:shd w:fill="auto" w:val="clear"/>
        </w:rPr>
        <w:t xml:space="preserve"> </w:t>
      </w:r>
      <w:r>
        <w:rPr>
          <w:rFonts w:ascii="Times New Roman" w:hAnsi="Times New Roman"/>
          <w:b/>
          <w:sz w:val="22"/>
          <w:szCs w:val="22"/>
          <w:shd w:fill="auto" w:val="clear"/>
        </w:rPr>
        <w:t>15h59.</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encaminhada.</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Para os envelopes que forem postados via Correios, serão considerados aqueles que tiverem sido recebidos até a data e horário limites estabelecidos no item 7.4.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em seu original, preenchido com clareza, sem emendas, rasuras, acréscimos ou entrelinhas, devidamente datado e assinado pelo representante legal da OSC.</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Responsável Técnico do projeto no Formulário de Apresentação de Projeto (Anexo I).</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É 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pPr>
        <w:pStyle w:val="Normal"/>
        <w:spacing w:before="120" w:after="12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COMISSÃO DE SELEÇÃO E DO PROCESSO DE SELEÇÃO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processo de seleção abrangerá a avaliação das propostas, a divulgação e a homologação dos resultados.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 nomeada para esse fim, através de Portaria deste Conselho, nos termos do Decreto nº 8.726/2016.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terá caráter eliminatório e classificatório.</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 xml:space="preserve">Será eliminada a </w:t>
      </w:r>
      <w:r>
        <w:rPr>
          <w:rFonts w:ascii="Times New Roman" w:hAnsi="Times New Roman"/>
          <w:color w:val="000000"/>
          <w:sz w:val="22"/>
          <w:szCs w:val="22"/>
        </w:rPr>
        <w:t>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que</w:t>
      </w:r>
      <w:r>
        <w:rPr>
          <w:rFonts w:ascii="Times New Roman" w:hAnsi="Times New Roman"/>
          <w:color w:val="FF0000"/>
          <w:sz w:val="22"/>
          <w:szCs w:val="22"/>
        </w:rPr>
        <w:t xml:space="preserve"> </w:t>
      </w:r>
      <w:r>
        <w:rPr>
          <w:rFonts w:ascii="Times New Roman" w:hAnsi="Times New Roman"/>
          <w:sz w:val="22"/>
          <w:szCs w:val="22"/>
        </w:rPr>
        <w:t>esteja em desacordo com os termos do edital (art. 16, §2º, do Decreto nº 8.726, de 2016) ou que não contenha os requisitos constantes da Deliberação Plenária CAU/PR N° 0099-08/2019, de 27 de agosto de 2019</w:t>
      </w:r>
      <w:r>
        <w:rPr>
          <w:rFonts w:ascii="Times New Roman" w:hAnsi="Times New Roman"/>
          <w:color w:val="FF0000"/>
          <w:sz w:val="22"/>
          <w:szCs w:val="22"/>
        </w:rPr>
        <w:t>.</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A avaliação classificatória dos projetos será realizada de acordo com os seguintes critérios de julgamento:</w:t>
      </w:r>
    </w:p>
    <w:p>
      <w:pPr>
        <w:pStyle w:val="ListParagraph"/>
        <w:suppressAutoHyphens w:val="false"/>
        <w:spacing w:before="121" w:after="0"/>
        <w:ind w:left="1134" w:right="106" w:hanging="0"/>
        <w:jc w:val="both"/>
        <w:rPr>
          <w:rFonts w:ascii="Times New Roman" w:hAnsi="Times New Roman"/>
          <w:sz w:val="22"/>
          <w:szCs w:val="22"/>
        </w:rPr>
      </w:pPr>
      <w:r>
        <w:rPr>
          <w:rFonts w:ascii="Times New Roman" w:hAnsi="Times New Roman"/>
          <w:sz w:val="22"/>
          <w:szCs w:val="22"/>
        </w:rPr>
      </w:r>
    </w:p>
    <w:tbl>
      <w:tblPr>
        <w:tblStyle w:val="TableNormal"/>
        <w:tblW w:w="96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694"/>
        <w:gridCol w:w="5244"/>
        <w:gridCol w:w="1718"/>
      </w:tblGrid>
      <w:tr>
        <w:trPr>
          <w:trHeight w:val="94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 w:val="16"/>
                <w:szCs w:val="22"/>
              </w:rPr>
            </w:pPr>
            <w:r>
              <w:rPr>
                <w:b/>
                <w:kern w:val="0"/>
                <w:sz w:val="16"/>
                <w:szCs w:val="22"/>
                <w:lang w:val="en-US"/>
              </w:rPr>
              <w:t>CRITÉRIOS</w:t>
            </w:r>
            <w:r>
              <w:rPr>
                <w:b/>
                <w:spacing w:val="-2"/>
                <w:kern w:val="0"/>
                <w:sz w:val="16"/>
                <w:szCs w:val="22"/>
                <w:lang w:val="en-US"/>
              </w:rPr>
              <w:t xml:space="preserve"> </w:t>
            </w:r>
            <w:r>
              <w:rPr>
                <w:b/>
                <w:kern w:val="0"/>
                <w:sz w:val="16"/>
                <w:szCs w:val="22"/>
                <w:lang w:val="en-US"/>
              </w:rPr>
              <w:t>DE JULGAMENTO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 w:val="16"/>
                <w:szCs w:val="22"/>
              </w:rPr>
            </w:pPr>
            <w:r>
              <w:rPr>
                <w:b/>
                <w:kern w:val="0"/>
                <w:sz w:val="16"/>
                <w:szCs w:val="22"/>
                <w:lang w:val="en-US"/>
              </w:rPr>
              <w:t>METODOLOGIA DE PONTUAÇÃO</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 w:val="16"/>
                <w:szCs w:val="22"/>
              </w:rPr>
            </w:pPr>
            <w:r>
              <w:rPr>
                <w:b/>
                <w:kern w:val="0"/>
                <w:sz w:val="14"/>
                <w:szCs w:val="22"/>
                <w:lang w:val="en-US"/>
              </w:rPr>
              <w:t>PONTUAÇÃO MÁXIMA POR ITEM</w:t>
            </w:r>
          </w:p>
        </w:tc>
      </w:tr>
      <w:tr>
        <w:trPr>
          <w:trHeight w:val="1951"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bidi w:val="0"/>
              <w:spacing w:before="60" w:after="60"/>
              <w:ind w:left="170" w:right="283" w:hanging="0"/>
              <w:jc w:val="left"/>
              <w:rPr>
                <w:szCs w:val="22"/>
              </w:rPr>
            </w:pPr>
            <w:r>
              <w:rPr>
                <w:kern w:val="0"/>
                <w:szCs w:val="22"/>
                <w:lang w:val="en-US"/>
              </w:rPr>
              <w:t>(A)  Informações sobre ações a serem executadas, metas a serem atingidas, indicadores que aferirão o cumprimento das metas e prazos para a execução das ações e para o cumprimento das metas, assim como clareza e coerência na apresentação do projeto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pleno de atendimento (2,0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satisfatório de atendimento (1,0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250" w:leader="none"/>
              </w:tabs>
              <w:spacing w:before="60" w:after="60"/>
              <w:ind w:left="57" w:right="140" w:hanging="0"/>
              <w:jc w:val="left"/>
              <w:rPr>
                <w:szCs w:val="22"/>
              </w:rPr>
            </w:pPr>
            <w:r>
              <w:rPr>
                <w:kern w:val="0"/>
                <w:szCs w:val="22"/>
                <w:lang w:val="en-US"/>
              </w:rPr>
              <w:t>O não atendimento ou o atendimento insatisfatório (0,0).</w:t>
            </w:r>
          </w:p>
          <w:p>
            <w:pPr>
              <w:pStyle w:val="TableParagraph"/>
              <w:widowControl w:val="false"/>
              <w:tabs>
                <w:tab w:val="clear" w:pos="708"/>
                <w:tab w:val="left" w:pos="185" w:leader="none"/>
              </w:tabs>
              <w:spacing w:before="60" w:after="60"/>
              <w:ind w:left="184" w:hanging="0"/>
              <w:jc w:val="left"/>
              <w:rPr>
                <w:color w:val="C9211E"/>
                <w:szCs w:val="22"/>
              </w:rPr>
            </w:pPr>
            <w:r>
              <w:rPr>
                <w:kern w:val="0"/>
                <w:szCs w:val="22"/>
                <w:lang w:val="en-US"/>
              </w:rPr>
              <w:t>OBS.: A atribuição de nota “zero” neste critério implica eliminação da proposta, por força do art. 16, §2º, incisos II e III,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951"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18" w:hanging="0"/>
              <w:jc w:val="left"/>
              <w:rPr>
                <w:szCs w:val="22"/>
              </w:rPr>
            </w:pPr>
            <w:r>
              <w:rPr>
                <w:kern w:val="0"/>
                <w:szCs w:val="22"/>
                <w:lang w:val="en-US"/>
              </w:rPr>
              <w:t>(B) Descrição da realidade objeto da parceria e do nexo entre essa realidade e o projeto proposto</w:t>
            </w:r>
          </w:p>
          <w:p>
            <w:pPr>
              <w:pStyle w:val="TableParagraph"/>
              <w:widowControl w:val="false"/>
              <w:spacing w:before="60" w:after="60"/>
              <w:ind w:left="146" w:right="250" w:hanging="0"/>
              <w:jc w:val="left"/>
              <w:rPr>
                <w:szCs w:val="22"/>
              </w:rPr>
            </w:pPr>
            <w:r>
              <w:rPr>
                <w:szCs w:val="22"/>
              </w:rPr>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5"/>
              </w:numPr>
              <w:tabs>
                <w:tab w:val="clear" w:pos="708"/>
                <w:tab w:val="left" w:pos="250" w:leader="none"/>
              </w:tabs>
              <w:spacing w:before="60" w:after="60"/>
              <w:ind w:left="57" w:right="140" w:hanging="128"/>
              <w:jc w:val="left"/>
              <w:rPr>
                <w:szCs w:val="22"/>
              </w:rPr>
            </w:pPr>
            <w:r>
              <w:rPr>
                <w:kern w:val="0"/>
                <w:szCs w:val="22"/>
                <w:lang w:val="en-US"/>
              </w:rPr>
              <w:t>O não atendimento ou o atendimento insatisfatório (0,0).</w:t>
            </w:r>
          </w:p>
          <w:p>
            <w:pPr>
              <w:pStyle w:val="TableParagraph"/>
              <w:widowControl w:val="false"/>
              <w:spacing w:before="60" w:after="60"/>
              <w:ind w:left="57" w:right="140" w:hanging="0"/>
              <w:jc w:val="left"/>
              <w:rPr>
                <w:szCs w:val="22"/>
              </w:rPr>
            </w:pPr>
            <w:r>
              <w:rPr>
                <w:kern w:val="0"/>
                <w:szCs w:val="22"/>
                <w:lang w:val="en-US"/>
              </w:rPr>
              <w:t>OBS.: A atribuição de nota “zero” neste critério implica eliminação da proposta, por força do art. 16,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222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92" w:hanging="0"/>
              <w:jc w:val="left"/>
              <w:rPr>
                <w:szCs w:val="22"/>
              </w:rPr>
            </w:pPr>
            <w:r>
              <w:rPr>
                <w:kern w:val="0"/>
                <w:szCs w:val="22"/>
                <w:lang w:val="en-US"/>
              </w:rPr>
              <w:t>(C) Pertinência do projeto e relevância para o desenvolvimento da arquitetura e urbanismo</w:t>
            </w:r>
          </w:p>
          <w:p>
            <w:pPr>
              <w:pStyle w:val="TableParagraph"/>
              <w:widowControl w:val="false"/>
              <w:spacing w:before="60" w:after="60"/>
              <w:ind w:left="146" w:right="292" w:hanging="0"/>
              <w:jc w:val="left"/>
              <w:rPr>
                <w:szCs w:val="22"/>
              </w:rPr>
            </w:pPr>
            <w:r>
              <w:rPr>
                <w:szCs w:val="22"/>
              </w:rPr>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szCs w:val="22"/>
              </w:rPr>
            </w:pPr>
            <w:r>
              <w:rPr>
                <w:kern w:val="0"/>
                <w:szCs w:val="22"/>
                <w:lang w:val="en-US"/>
              </w:rPr>
              <w:t>- Grau pleno da descrição (2,0)</w:t>
            </w:r>
          </w:p>
          <w:p>
            <w:pPr>
              <w:pStyle w:val="TableParagraph"/>
              <w:widowControl w:val="false"/>
              <w:numPr>
                <w:ilvl w:val="0"/>
                <w:numId w:val="12"/>
              </w:numPr>
              <w:tabs>
                <w:tab w:val="clear" w:pos="708"/>
                <w:tab w:val="left" w:pos="185" w:leader="none"/>
              </w:tabs>
              <w:spacing w:before="60" w:after="60"/>
              <w:ind w:left="184" w:hanging="127"/>
              <w:jc w:val="left"/>
              <w:rPr>
                <w:szCs w:val="22"/>
              </w:rPr>
            </w:pPr>
            <w:r>
              <w:rPr>
                <w:kern w:val="0"/>
                <w:szCs w:val="22"/>
                <w:lang w:val="en-US"/>
              </w:rPr>
              <w:t>Grau satisfatório da descrição</w:t>
            </w:r>
            <w:r>
              <w:rPr>
                <w:spacing w:val="-2"/>
                <w:kern w:val="0"/>
                <w:szCs w:val="22"/>
                <w:lang w:val="en-US"/>
              </w:rPr>
              <w:t xml:space="preserve"> </w:t>
            </w:r>
            <w:r>
              <w:rPr>
                <w:kern w:val="0"/>
                <w:szCs w:val="22"/>
                <w:lang w:val="en-US"/>
              </w:rPr>
              <w:t>(1,0)</w:t>
            </w:r>
          </w:p>
          <w:p>
            <w:pPr>
              <w:pStyle w:val="TableParagraph"/>
              <w:widowControl w:val="false"/>
              <w:numPr>
                <w:ilvl w:val="0"/>
                <w:numId w:val="12"/>
              </w:numPr>
              <w:spacing w:before="60" w:after="60"/>
              <w:ind w:left="184" w:right="136" w:hanging="128"/>
              <w:jc w:val="left"/>
              <w:rPr>
                <w:szCs w:val="22"/>
              </w:rPr>
            </w:pPr>
            <w:r>
              <w:rPr>
                <w:kern w:val="0"/>
                <w:szCs w:val="22"/>
                <w:lang w:val="en-US"/>
              </w:rPr>
              <w:t>Não atendimento ou o atendimento</w:t>
            </w:r>
            <w:r>
              <w:rPr>
                <w:spacing w:val="45"/>
                <w:kern w:val="0"/>
                <w:szCs w:val="22"/>
                <w:lang w:val="en-US"/>
              </w:rPr>
              <w:t xml:space="preserve"> </w:t>
            </w:r>
            <w:r>
              <w:rPr>
                <w:kern w:val="0"/>
                <w:szCs w:val="22"/>
                <w:lang w:val="en-US"/>
              </w:rPr>
              <w:t>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85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18" w:hanging="0"/>
              <w:jc w:val="left"/>
              <w:rPr>
                <w:szCs w:val="22"/>
              </w:rPr>
            </w:pPr>
            <w:r>
              <w:rPr>
                <w:kern w:val="0"/>
                <w:szCs w:val="22"/>
                <w:lang w:val="en-US"/>
              </w:rPr>
              <w:t>(D) Experiência comprovada dos membros da equipe proponente para com a temática em: projetos de habitação de interesse social; atuação professional em comunidades vulneráveis; experiência em execução de obras</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5"/>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spacing w:before="60" w:after="60"/>
              <w:ind w:left="57" w:right="139" w:hanging="0"/>
              <w:jc w:val="left"/>
              <w:rPr>
                <w:szCs w:val="22"/>
              </w:rPr>
            </w:pPr>
            <w:r>
              <w:rPr>
                <w:szCs w:val="22"/>
              </w:rPr>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106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bidi w:val="0"/>
              <w:spacing w:before="60" w:after="60"/>
              <w:ind w:left="170" w:right="0" w:hanging="0"/>
              <w:jc w:val="left"/>
              <w:rPr>
                <w:szCs w:val="22"/>
              </w:rPr>
            </w:pPr>
            <w:r>
              <w:rPr>
                <w:kern w:val="0"/>
                <w:szCs w:val="22"/>
                <w:lang w:val="en-US"/>
              </w:rPr>
              <w:t>(E) Experiência comprovada dos membros da equipe proponente em atividades de extensão e pesquisa em habitação de interesse social ou trabalhos em comunidades vulneráveis sob o aspecto socioambiental; experiência na concepção ou em ministrar cursos e/ ou eventos relacionados a habitação de interesse social ou atuação professional em comunidades vulneráveis</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8"/>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numPr>
                <w:ilvl w:val="0"/>
                <w:numId w:val="8"/>
              </w:numPr>
              <w:tabs>
                <w:tab w:val="clear" w:pos="708"/>
                <w:tab w:val="left" w:pos="250" w:leader="none"/>
              </w:tabs>
              <w:spacing w:before="60" w:after="60"/>
              <w:ind w:left="57" w:right="140" w:hanging="128"/>
              <w:jc w:val="left"/>
              <w:rPr>
                <w:szCs w:val="22"/>
              </w:rPr>
            </w:pPr>
            <w:r>
              <w:rPr>
                <w:szCs w:val="22"/>
              </w:rPr>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78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65" w:hanging="0"/>
              <w:jc w:val="left"/>
              <w:rPr>
                <w:szCs w:val="22"/>
              </w:rPr>
            </w:pPr>
            <w:r>
              <w:rPr>
                <w:kern w:val="0"/>
                <w:szCs w:val="22"/>
                <w:lang w:val="en-US"/>
              </w:rPr>
              <w:t>(F) Capacidade da equipe proponente em estabelecer parcerias com entes públicos ou privados para obtenção de recursos financeiros ou doações de material de construção para eventual execução de obras civís ou complementações que se façam necessárias às propostas</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pleno de atendimento (1,0</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satisfatório de atendimento (0,5</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250" w:leader="none"/>
              </w:tabs>
              <w:spacing w:before="60" w:after="60"/>
              <w:ind w:left="184" w:right="140" w:hanging="128"/>
              <w:jc w:val="left"/>
              <w:rPr>
                <w:szCs w:val="22"/>
              </w:rPr>
            </w:pPr>
            <w:r>
              <w:rPr>
                <w:kern w:val="0"/>
                <w:szCs w:val="22"/>
                <w:lang w:val="en-US"/>
              </w:rPr>
              <w:t>O não atendimento ou o atendimento insatisfatório (0,0).</w:t>
            </w:r>
          </w:p>
          <w:p>
            <w:pPr>
              <w:pStyle w:val="TableParagraph"/>
              <w:widowControl w:val="false"/>
              <w:numPr>
                <w:ilvl w:val="0"/>
                <w:numId w:val="0"/>
              </w:numPr>
              <w:spacing w:before="60" w:after="60"/>
              <w:ind w:left="184" w:hanging="0"/>
              <w:jc w:val="left"/>
              <w:rPr>
                <w:szCs w:val="22"/>
              </w:rPr>
            </w:pPr>
            <w:r>
              <w:rPr>
                <w:szCs w:val="22"/>
              </w:rPr>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1,0</w:t>
            </w:r>
          </w:p>
        </w:tc>
      </w:tr>
      <w:tr>
        <w:trPr>
          <w:trHeight w:val="376" w:hRule="atLeast"/>
        </w:trPr>
        <w:tc>
          <w:tcPr>
            <w:tcW w:w="7938"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b/>
                <w:b/>
                <w:szCs w:val="22"/>
              </w:rPr>
            </w:pPr>
            <w:r>
              <w:rPr>
                <w:b/>
                <w:kern w:val="0"/>
                <w:szCs w:val="22"/>
                <w:lang w:val="en-US"/>
              </w:rPr>
              <w:t>Pontuação Máxima Global</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10,0</w:t>
            </w:r>
          </w:p>
        </w:tc>
      </w:tr>
    </w:tbl>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O não atendimento aos critérios dos itens C, D, E e F não exclui a equipe proponente e não implica na eliminação da proposta; </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proponente deve considerar e explicitar as condições de consolidação e segurança de posse da população beneficiária;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Não serão aceitos projetos situados em áreas que apresentem riscos ambientais, de vida e/ ou de perda material da população beneficiária.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proponente deve apresentar cronograma físico-financeiro referente à realização das atividades;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No caso de projetos de melhorias habitacionais ou em equipamentos de uso coletivo, a proponente deve apresentar a viabilidade da execução das obras civis referentes a tais projetos. </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Até 40% do valor destinado para este edital, ou seja, R$ 40.000,00 (quarenta mil reais), poderão ser utilizados na execução das obras civis referentes aos projetos arquitetônicos de melhorias habitacionais ou em equipamentos de uso coletivo.</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 utilização de 40% do valor total para a execução de obras fica condicionada à contrapartida, de no mínimo um ¼ (um quarto) deste valor, obtida pelo proponente mediante parcerias com entes públicos ou privados e/ou por meio da arrecadação de materiais de construção por parte da equipe proponente.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Serão desclassificados nesta etapa, as propostas:</w:t>
      </w:r>
    </w:p>
    <w:p>
      <w:pPr>
        <w:pStyle w:val="ListParagraph"/>
        <w:numPr>
          <w:ilvl w:val="0"/>
          <w:numId w:val="9"/>
        </w:numPr>
        <w:tabs>
          <w:tab w:val="clear" w:pos="708"/>
          <w:tab w:val="left" w:pos="732" w:leader="none"/>
        </w:tabs>
        <w:suppressAutoHyphens w:val="false"/>
        <w:ind w:left="1134" w:hanging="567"/>
        <w:jc w:val="both"/>
        <w:rPr>
          <w:rFonts w:ascii="Times New Roman" w:hAnsi="Times New Roman"/>
          <w:sz w:val="22"/>
          <w:szCs w:val="22"/>
        </w:rPr>
      </w:pPr>
      <w:r>
        <w:rPr>
          <w:rFonts w:ascii="Times New Roman" w:hAnsi="Times New Roman"/>
          <w:sz w:val="22"/>
          <w:szCs w:val="22"/>
        </w:rPr>
        <w:t>cujas pontuações globais sejam inferiores a 6,0 (seis) pontos.</w:t>
      </w:r>
    </w:p>
    <w:p>
      <w:pPr>
        <w:pStyle w:val="ListParagraph"/>
        <w:numPr>
          <w:ilvl w:val="0"/>
          <w:numId w:val="9"/>
        </w:numPr>
        <w:tabs>
          <w:tab w:val="clear" w:pos="708"/>
          <w:tab w:val="left" w:pos="758" w:leader="none"/>
        </w:tabs>
        <w:suppressAutoHyphens w:val="false"/>
        <w:ind w:left="1134" w:hanging="567"/>
        <w:jc w:val="both"/>
        <w:rPr>
          <w:rFonts w:ascii="Times New Roman" w:hAnsi="Times New Roman"/>
          <w:sz w:val="22"/>
          <w:szCs w:val="22"/>
        </w:rPr>
      </w:pPr>
      <w:r>
        <w:rPr>
          <w:rFonts w:ascii="Times New Roman" w:hAnsi="Times New Roman"/>
          <w:sz w:val="22"/>
          <w:szCs w:val="22"/>
        </w:rPr>
        <w:t>que recebam nota “zero” nos critérios de julgamento (A) e (B);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w:t>
      </w:r>
      <w:r>
        <w:rPr>
          <w:rFonts w:ascii="Times New Roman" w:hAnsi="Times New Roman"/>
          <w:spacing w:val="-6"/>
          <w:sz w:val="22"/>
          <w:szCs w:val="22"/>
        </w:rPr>
        <w:t xml:space="preserve"> </w:t>
      </w:r>
      <w:r>
        <w:rPr>
          <w:rFonts w:ascii="Times New Roman" w:hAnsi="Times New Roman"/>
          <w:sz w:val="22"/>
          <w:szCs w:val="22"/>
        </w:rPr>
        <w:t>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pPr>
        <w:pStyle w:val="ListParagraph"/>
        <w:suppressAutoHyphens w:val="false"/>
        <w:spacing w:before="121" w:after="0"/>
        <w:ind w:left="567" w:right="106" w:hanging="0"/>
        <w:jc w:val="both"/>
        <w:rPr>
          <w:rFonts w:ascii="Times New Roman" w:hAnsi="Times New Roman"/>
          <w:b/>
          <w:b/>
          <w:sz w:val="22"/>
          <w:szCs w:val="22"/>
          <w:u w:val="single"/>
        </w:rPr>
      </w:pPr>
      <w:r>
        <w:rPr>
          <w:rFonts w:ascii="Times New Roman" w:hAnsi="Times New Roman"/>
          <w:b/>
          <w:sz w:val="22"/>
          <w:szCs w:val="22"/>
          <w:u w:val="single"/>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RECURSO CONTRA A SELEÇÃO DAS PROPOSTAS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divulgará o resultado preliminar do processo de seleção no sítio eletrônico do CAU/PR.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recurso deverá ser apresentado em envelope fechado, opaco e indevassável, obrigatoriamente identificados, via correios, mediante postagem com A.R. (Aviso de Recebimento), ou entregue pessoalmente na sede do Conselho, na seguinte forma:</w:t>
      </w:r>
    </w:p>
    <w:p>
      <w:pPr>
        <w:pStyle w:val="ListParagraph"/>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mc:AlternateContent>
          <mc:Choice Requires="wps">
            <w:drawing>
              <wp:anchor behindDoc="0" distT="33655" distB="0" distL="9525" distR="112395" simplePos="0" locked="0" layoutInCell="0" allowOverlap="1" relativeHeight="25" wp14:anchorId="71958E5F">
                <wp:simplePos x="0" y="0"/>
                <wp:positionH relativeFrom="column">
                  <wp:posOffset>0</wp:posOffset>
                </wp:positionH>
                <wp:positionV relativeFrom="paragraph">
                  <wp:posOffset>77470</wp:posOffset>
                </wp:positionV>
                <wp:extent cx="5758815" cy="1348105"/>
                <wp:effectExtent l="0" t="0" r="15240" b="25400"/>
                <wp:wrapTopAndBottom/>
                <wp:docPr id="3" name="Caixa de texto 2"/>
                <a:graphic xmlns:a="http://schemas.openxmlformats.org/drawingml/2006/main">
                  <a:graphicData uri="http://schemas.microsoft.com/office/word/2010/wordprocessingShape">
                    <wps:wsp>
                      <wps:cNvSpPr/>
                      <wps:spPr>
                        <a:xfrm>
                          <a:off x="0" y="0"/>
                          <a:ext cx="5758200" cy="134748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 – Curitiba/PR - CEP 80045-360</w:t>
                            </w:r>
                          </w:p>
                        </w:txbxContent>
                      </wps:txbx>
                      <wps:bodyPr lIns="0" rIns="0" tIns="0" bIns="0" upright="1">
                        <a:noAutofit/>
                      </wps:bodyPr>
                    </wps:wsp>
                  </a:graphicData>
                </a:graphic>
              </wp:anchor>
            </w:drawing>
          </mc:Choice>
          <mc:Fallback>
            <w:pict>
              <v:rect id="shape_0" ID="Caixa de texto 2" path="m0,0l-2147483645,0l-2147483645,-2147483646l0,-2147483646xe" stroked="t" style="position:absolute;margin-left:0pt;margin-top:6.1pt;width:453.35pt;height:106.05pt;mso-wrap-style:square;v-text-anchor:top" wp14:anchorId="71958E5F">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 – Curitiba/PR - CEP 80045-360</w:t>
                      </w:r>
                    </w:p>
                  </w:txbxContent>
                </v:textbox>
                <w10:wrap type="topAndBottom"/>
              </v:rect>
            </w:pict>
          </mc:Fallback>
        </mc:AlternateConten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Comissão de Seleção poderá reconsiderar o recurso ou encaminhá-lo à autoridade superior para decisão final.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caberá novo recurso da decisão final de que trata o item antecedente.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nos termos da lei.</w:t>
      </w:r>
    </w:p>
    <w:p>
      <w:pPr>
        <w:pStyle w:val="ListParagraph"/>
        <w:suppressAutoHyphens w:val="false"/>
        <w:spacing w:lineRule="auto" w:line="264"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CONVOCAÇÃO PARA A APRESENTAÇÃO DOS PLANOS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Plano de Trabalho; e</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Entende-se que a convocação das entidades se dará, automaticamente, após julgamento dos recursos, com a publicação do aviso do Resultado Definitivo do Processo de Seleção no </w:t>
      </w:r>
      <w:r>
        <w:rPr>
          <w:rFonts w:eastAsia="MS Mincho" w:cs="Times New Roman" w:ascii="Times New Roman" w:hAnsi="Times New Roman"/>
          <w:sz w:val="22"/>
          <w:szCs w:val="22"/>
          <w:lang w:eastAsia="ar-SA"/>
        </w:rPr>
        <w:t>sítio eletrônico do CAU/PR</w:t>
      </w:r>
      <w:r>
        <w:rPr>
          <w:rFonts w:ascii="Times New Roman" w:hAnsi="Times New Roman"/>
          <w:sz w:val="22"/>
          <w:szCs w:val="22"/>
        </w:rPr>
        <w:t>, iniciando-se a contagem dos 15 (quinze) dias para apresentação dos documentos a partir dessa data.</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 PLANO DE TRABALHO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apresentar o seu plano de trabalho, no prazo definido no item 10, conforme Anexo 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 orçamentária do órgão, respeitada a ordem de classificação.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documentos necessários à comprovação dos requisitos constantes deste Edital.</w:t>
      </w:r>
    </w:p>
    <w:p>
      <w:pPr>
        <w:pStyle w:val="ListParagraph"/>
        <w:numPr>
          <w:ilvl w:val="2"/>
          <w:numId w:val="2"/>
        </w:numPr>
        <w:suppressAutoHyphens w:val="false"/>
        <w:spacing w:lineRule="auto" w:line="264" w:before="120" w:after="0"/>
        <w:ind w:left="1361" w:hanging="794"/>
        <w:jc w:val="both"/>
        <w:rPr>
          <w:rFonts w:ascii="Times New Roman" w:hAnsi="Times New Roman"/>
          <w:b/>
          <w:b/>
          <w:sz w:val="22"/>
          <w:szCs w:val="22"/>
        </w:rPr>
      </w:pPr>
      <w:r>
        <w:rPr>
          <w:rFonts w:ascii="Times New Roman" w:hAnsi="Times New Roman"/>
          <w:b/>
          <w:sz w:val="22"/>
          <w:szCs w:val="22"/>
        </w:rPr>
        <w:t>O Plano de Trabalho deverá ser entregue em via ORIGINAL, devidamente assinado pelo responsável indicado no formulário.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especificações que o proponente julgar necessários, obrigatoriamente, os seguintes elementos: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forma de execução das ações;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de metas quantitativas e mensuráveis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definição dos indicadores, documentos e outros meios a serem utilizados para a aferição do cumprimento das metas;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previsão de receitas e a estimativa de despesas a serem realizadas na execução das ações, incluindo os encargos sociais e trabalhistas e a discriminação dos custos indiretos necessários à execução do objeto;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ações que demandarão pagamento em espécie, quando for o caso, na forma do §1º, do art. 38 do Decreto 8.726, de 2016.</w:t>
      </w:r>
    </w:p>
    <w:p>
      <w:pPr>
        <w:pStyle w:val="ListParagraph"/>
        <w:numPr>
          <w:ilvl w:val="0"/>
          <w:numId w:val="0"/>
        </w:numPr>
        <w:suppressAutoHyphens w:val="false"/>
        <w:spacing w:lineRule="auto" w:line="264" w:before="120" w:after="0"/>
        <w:ind w:left="6248" w:hanging="0"/>
        <w:jc w:val="both"/>
        <w:rPr>
          <w:rFonts w:ascii="Times New Roman" w:hAnsi="Times New Roman"/>
          <w:sz w:val="22"/>
          <w:szCs w:val="22"/>
        </w:rPr>
      </w:pPr>
      <w:r>
        <w:rPr>
          <w:rFonts w:ascii="Times New Roman" w:hAnsi="Times New Roman"/>
          <w:sz w:val="22"/>
          <w:szCs w:val="22"/>
        </w:rPr>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rPr>
        <w:t>A</w:t>
      </w:r>
      <w:r>
        <w:rPr>
          <w:rFonts w:ascii="Times New Roman" w:hAnsi="Times New Roman"/>
          <w:b/>
          <w:bCs/>
          <w:sz w:val="22"/>
          <w:szCs w:val="22"/>
        </w:rPr>
        <w:t xml:space="preserve"> previsão de receitas e despesas de que trata o item 11.3.5 deverá apresentar preços compatíveis com valores de mercado, que possam ser comprovados, através de cotações, tabelas de preços de associações profissionais, publicações especializadas ou quaisquer outras fontes de informação disponíveis ao público.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 aprovação, o CAU/PR, através da Equipe Técnica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pPr>
        <w:pStyle w:val="ListParagraph"/>
        <w:spacing w:before="121" w:after="0"/>
        <w:ind w:left="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do estatuto registrado e suas alterações, em conformidade com as exigências previstas no art. 33 da Lei nº 13.019, de 2014;</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que a Organização da Sociedade Civil não possui dirigentes que sejam empregados ou dirigentes do CAU/BR ou dos CAU/UF, bem como seus cônjuges, companheiros ou parentes em linha reta até segundo grau, conforme o Anexo IV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experiência prévia na realização do objeto da parceria ou de objeto de natureza semelhante de, no mínimo, um ano de capacidade técnica e operacional, podendo ser admitidos, sem prejuízo de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organismos internacionais, empresas ou outras organizações da sociedade civil;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publicações, pesquisas e outras formas de produção de conhecimento realizadas pela organização da sociedade civil ou a respeito dela;</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currículos profissionais de integrantes da organização da sociedade civil, sejam dirigentes, conselheiros, associados, cooperados, empregados, entre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prêmios de relevância recebidos no País ou no exterior pela organização da sociedade civil.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de Débitos Relativos a Créditos Tributários Federais e à Dívida Ativa da União;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de Serviço - CRF/FGTS;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Negativa de Débitos Trabalhistas - CNDT;</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(Modelo - Anexo V).</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de que a entidade não remunerará, a qualquer título, com os recursos repassados (Modelo - Anexo VIII):</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empresa informando os dados relativos a conta corrente específica a ser mantida pela Organização da Sociedade Civil, para recebimento dos recursos relativos à parceria a ser firmada (Modelo - Anexo IX).</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0"/>
          <w:numId w:val="0"/>
        </w:numPr>
        <w:spacing w:lineRule="auto" w:line="264" w:before="60" w:after="0"/>
        <w:ind w:left="1928" w:hanging="0"/>
        <w:jc w:val="both"/>
        <w:rPr/>
      </w:pPr>
      <w:r>
        <w:rPr/>
        <w:t xml:space="preserve">       </w:t>
      </w:r>
      <w:r>
        <w:rPr>
          <w:b/>
          <w:bCs/>
          <w:sz w:val="22"/>
          <w:szCs w:val="22"/>
        </w:rPr>
        <w:t>12.1.16</w:t>
      </w:r>
      <w:r>
        <w:rPr/>
        <w:t xml:space="preserve"> </w:t>
      </w:r>
      <w:r>
        <w:rPr>
          <w:rFonts w:ascii="Times New Roman" w:hAnsi="Times New Roman"/>
          <w:sz w:val="22"/>
          <w:szCs w:val="22"/>
        </w:rPr>
        <w:t>Comprovantes de experiência solicitados na letra “d”, da tabela do item 8.3.2, no      mínimo, do coordenador do projeto.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Serão consideradas regulares, para fins de cumprimento do disposto</w:t>
      </w:r>
      <w:r>
        <w:rPr>
          <w:rFonts w:ascii="Times New Roman" w:hAnsi="Times New Roman"/>
          <w:color w:val="000000"/>
          <w:sz w:val="22"/>
          <w:szCs w:val="22"/>
        </w:rPr>
        <w:t xml:space="preserve"> neste edital</w:t>
      </w:r>
      <w:r>
        <w:rPr>
          <w:rFonts w:ascii="Times New Roman" w:hAnsi="Times New Roman"/>
          <w:sz w:val="22"/>
          <w:szCs w:val="22"/>
        </w:rPr>
        <w:t>, as certidões positivas com efeito de negativas.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organizações da sociedade civil ficarão dispensadas de reapresentar as certidões que estiverem vencidas no momento da análise, desde que estejam disponíveis eletronicamente.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Caso as certidões não estejam disponíveis eletronicamente, a OSC será notificada para apresentá-las, no prazo de 15 (quinze) dias, sob pena de não celebração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que se refere ao item 12.1.12,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deste Edital, não são considerados membros de Poder os integrantes de conselhos de direitos e de políticas públicas.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O proponente deverá estar regular com a documentação de habilitação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documentos relativos à sua regularidade fiscal, ainda que no vencimento, em 3 (três) momentos distintos:</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2º momento: na data de cada transferência de recursos do CAU/PR, conforme cronograma de desembolso financeiro do projeto;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regulamentação do órgão emissor que disponha sobre a validade dos mesmos.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ausência da declaração ou regulamentação de que trata o item 12.8, o documento será considerado válido pelo prazo de 30 (trinta) dias, a partir da data de sua emissão.</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FORMA DE APRESENTAÇÃO DO PLANO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 A.R. (Aviso de Recebimento), ou entregues pessoalmente na sede do Conselho, na seguinte forma:</w:t>
      </w:r>
    </w:p>
    <w:p>
      <w:pPr>
        <w:pStyle w:val="Normal"/>
        <w:spacing w:before="121" w:after="0"/>
        <w:ind w:right="106" w:hanging="0"/>
        <w:jc w:val="both"/>
        <w:rPr>
          <w:b/>
          <w:b/>
          <w:color w:val="FF0000"/>
          <w:sz w:val="22"/>
          <w:szCs w:val="22"/>
        </w:rPr>
      </w:pPr>
      <w:r>
        <w:rPr>
          <w:b/>
          <w:color w:val="FF0000"/>
          <w:sz w:val="22"/>
          <w:szCs w:val="22"/>
        </w:rPr>
        <mc:AlternateContent>
          <mc:Choice Requires="wps">
            <w:drawing>
              <wp:anchor behindDoc="0" distT="33655" distB="0" distL="147955" distR="112395" simplePos="0" locked="0" layoutInCell="0" allowOverlap="1" relativeHeight="26" wp14:anchorId="060CECB3">
                <wp:simplePos x="0" y="0"/>
                <wp:positionH relativeFrom="column">
                  <wp:posOffset>13970</wp:posOffset>
                </wp:positionH>
                <wp:positionV relativeFrom="paragraph">
                  <wp:posOffset>372745</wp:posOffset>
                </wp:positionV>
                <wp:extent cx="5722620" cy="1585595"/>
                <wp:effectExtent l="0" t="0" r="9525" b="19050"/>
                <wp:wrapTopAndBottom/>
                <wp:docPr id="5" name="Caixa de texto 3"/>
                <a:graphic xmlns:a="http://schemas.openxmlformats.org/drawingml/2006/main">
                  <a:graphicData uri="http://schemas.microsoft.com/office/word/2010/wordprocessingShape">
                    <wps:wsp>
                      <wps:cNvSpPr/>
                      <wps:spPr>
                        <a:xfrm>
                          <a:off x="0" y="0"/>
                          <a:ext cx="5721840" cy="158508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3" path="m0,0l-2147483645,0l-2147483645,-2147483646l0,-2147483646xe" stroked="t" style="position:absolute;margin-left:1.1pt;margin-top:29.35pt;width:450.5pt;height:124.75pt;mso-wrap-style:square;v-text-anchor:top" wp14:anchorId="060CECB3">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EQUIPE TÉCNICA E DA ANÁLISE DO PLANO DE TRABALHO E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análise dos Planos de Trabalho e dos Documentos de Habilitação Final será realizada por Equipe Técnica designada para essa finalidade, por meio de Portaria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viabilidade de sua execução;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verificação do cronograma de desembolso;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designação do gestor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12.1.7 a 12.1.9 estiverem com prazo de vigência expirado e novas certidões não estiverem disponíveis eletronicamente, a organização da sociedade civil será notificada para, no prazo de 15 (quinze) dias, regularizar a documentação, sob pena de não celebração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notificação da Organização da Sociedade Civil poderá ser realizada por correspondência eletrônica ou outra forma, a critério da Administração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poderão aportar recursos financeiros ao projeto, por meio de contrapartidas institucionais, as quais deverão ser especificadas e devidamente comprovadas quando da prestação de contas.</w:t>
      </w:r>
    </w:p>
    <w:p>
      <w:pPr>
        <w:pStyle w:val="ListParagraph"/>
        <w:suppressAutoHyphens w:val="false"/>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ANÁLISE JURÍDICA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propostas e respectivos documentos, com a consequente emissão do parecer jurídico acerca da possibilidade de celebração da parceria.</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FORMALIZAÇÃO DO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através da formalização do respectivo Termo de Fomento, serão notificadas para assinatura do referido instrumento.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 notificação de que trata o item 16.2, os representantes legais das Organizações da Sociedade Civil e os responsáveis técnicos dos projetos, deverão comparecer pessoalmente ao CAU/PR, no prazo de 10 (dez) dias a contar de sua notificação para a assinatura dos Termos de Fomento respectivos.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No mesmo prazo, poderão as OSC serem convocadas a apresentarem os documentos relativos à sua habilitação, que se encontrarem vencidos.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DIVULGAÇÃO DAS AÇÕES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divulgação deverá ser realizada desde a celebração das parcerias até 180 (cento e oitenta) dias após a apresentação da prestação de contas final.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As Organizações da Sociedade Civil deverão divulgar, no mínimo: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data de assinatura e identificação do instrumento de parceria e do órgão da administração pública responsável;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descrição do objeto da parceria;</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valor total da parceria e valores liberados;</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Quando vinculados à execução do objeto e pagos com recursos da parceria, o valor total da remuneração da equipe de trabalho, as funções que seus integrantes desempenham e a remuneração prevista para o respectivo exercício.</w:t>
      </w:r>
    </w:p>
    <w:p>
      <w:pPr>
        <w:pStyle w:val="Normal"/>
        <w:spacing w:before="121" w:after="0"/>
        <w:ind w:left="-10"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REPASSE DOS RECURSOS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houver evidências de irregularidade na aplicação de parcela anteriormente recebida;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a Organização da Sociedade Civil deixar de adotar sem justificativa suficiente as medidas saneadoras apontadas pelo CAU/PR, através de notificação encaminhada pelo gestor da parceria ou pelos órgãos de controle interno ou externo.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configura inadimplemento de obrigação estabelecida no termo de fomento</w:t>
      </w:r>
      <w:r>
        <w:rPr>
          <w:rFonts w:ascii="Times New Roman" w:hAnsi="Times New Roman"/>
          <w:color w:val="000000"/>
          <w:sz w:val="22"/>
          <w:szCs w:val="22"/>
        </w:rPr>
        <w:t>.</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proponente deverá encaminhar para o endereço eletrônico</w:t>
      </w:r>
      <w:r>
        <w:rPr>
          <w:rFonts w:ascii="Times New Roman" w:hAnsi="Times New Roman"/>
          <w:color w:val="FF0000"/>
          <w:sz w:val="22"/>
          <w:szCs w:val="22"/>
        </w:rPr>
        <w:t xml:space="preserve"> </w:t>
      </w:r>
      <w:r>
        <w:rPr>
          <w:rStyle w:val="LinkdaInternet"/>
          <w:rFonts w:eastAsia="MS Mincho" w:cs="Times New Roman" w:ascii="Times New Roman" w:hAnsi="Times New Roman"/>
          <w:color w:val="000000"/>
          <w:sz w:val="22"/>
          <w:szCs w:val="22"/>
          <w:u w:val="single"/>
          <w:lang w:eastAsia="ar-SA"/>
        </w:rPr>
        <w:t>comunicacao</w:t>
      </w:r>
      <w:r>
        <w:rPr>
          <w:rStyle w:val="LinkdaInternet"/>
          <w:rFonts w:ascii="Times New Roman" w:hAnsi="Times New Roman"/>
          <w:color w:val="000000"/>
          <w:sz w:val="22"/>
          <w:szCs w:val="22"/>
        </w:rPr>
        <w:t>@caupr.gov.br</w:t>
      </w:r>
      <w:r>
        <w:rPr>
          <w:rStyle w:val="LinkdaInternet"/>
          <w:rFonts w:ascii="Times New Roman" w:hAnsi="Times New Roman"/>
          <w:sz w:val="22"/>
          <w:szCs w:val="22"/>
        </w:rPr>
        <w:t xml:space="preserve"> </w:t>
      </w:r>
      <w:r>
        <w:rPr>
          <w:rFonts w:ascii="Times New Roman" w:hAnsi="Times New Roman"/>
          <w:sz w:val="22"/>
          <w:szCs w:val="22"/>
        </w:rPr>
        <w:t>declaração de repasse de recurso de cada valor depositado na conta corrente específica do projeto, conforme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pPr>
        <w:pStyle w:val="Normal"/>
        <w:spacing w:before="121" w:after="0"/>
        <w:ind w:right="106" w:hanging="0"/>
        <w:rPr>
          <w:b/>
          <w:b/>
          <w:color w:val="FF0000"/>
          <w:sz w:val="22"/>
          <w:szCs w:val="22"/>
        </w:rPr>
      </w:pPr>
      <w:r>
        <w:rPr>
          <w:b/>
          <w:color w:val="FF0000"/>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SANÇÕES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Quando a execução da parceria estiver em desacordo com o plano de trabalho e com as normas da </w:t>
      </w:r>
      <w:hyperlink r:id="rId2">
        <w:r>
          <w:rPr>
            <w:rFonts w:ascii="Times New Roman" w:hAnsi="Times New Roman"/>
            <w:sz w:val="22"/>
            <w:szCs w:val="22"/>
          </w:rPr>
          <w:t>Lei nº</w:t>
        </w:r>
      </w:hyperlink>
      <w:hyperlink r:id="rId3">
        <w:r>
          <w:rPr>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Da verificação do fato que poderá acarretar a aplicação das sanções prevista no item</w:t>
      </w:r>
      <w:r>
        <w:rPr>
          <w:rFonts w:ascii="Times New Roman" w:hAnsi="Times New Roman"/>
          <w:color w:val="FF0000"/>
          <w:sz w:val="22"/>
          <w:szCs w:val="22"/>
        </w:rPr>
        <w:t xml:space="preserve">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pPr>
        <w:pStyle w:val="Normal"/>
        <w:spacing w:before="121" w:after="0"/>
        <w:ind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deverá ser feita em observância as regras previstas na Lei 13.019, de 2014, no Decreto 8.726, de 2016 e no Manual de Prestação de Contas –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OSC deverá apresentar a prestação de contas dos projetos, ao gestor da parceria, através dos seguintes documentos: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w:t>
      </w:r>
      <w:r>
        <w:rPr>
          <w:rFonts w:ascii="Times New Roman" w:hAnsi="Times New Roman"/>
          <w:color w:val="FF0000"/>
          <w:sz w:val="22"/>
          <w:szCs w:val="22"/>
        </w:rPr>
        <w:t xml:space="preserve">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e todos os atos dela decorrentes deverão ser divulgados no sítio eletrônico do CAU/PR, permitida a visualização por qualquer interessado, nos termos do art. 65,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Deverão ser observadas para a Prestação de Contas, as determinações constantes dos arts. 63 a 72 da Lei 13.019, de 2014, dos arts. 59 a 77 do Decreto 8.726, de 2016 e do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DOS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Caberá a Comissão de Monitoramento e Avaliação do CAU/PR a avaliação e a homologação dos relatórios técnicos de monitoramento e avaliação, a ser emitido pela equipe técnica responsável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pPr>
        <w:pStyle w:val="ListParagraph"/>
        <w:suppressAutoHyphens w:val="false"/>
        <w:spacing w:before="121" w:after="0"/>
        <w:ind w:left="-1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GESTÃO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São obrigações do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Acompanhar e fiscalizar a execução da parceria;</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conteúdo do relatório técnico de monitoramento e avaliação, e análise da assessoria contábil;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pPr>
        <w:pStyle w:val="Normal"/>
        <w:spacing w:before="121" w:after="0"/>
        <w:ind w:left="-10"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DISPOSIÇÕES FINAIS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homologação deste chamamento público não gerará direito a Organização da Sociedade Civil à celebração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hyperlink r:id="rId4">
        <w:r>
          <w:rPr>
            <w:rStyle w:val="LinkdaInternet"/>
            <w:rFonts w:ascii="Times New Roman" w:hAnsi="Times New Roman"/>
            <w:sz w:val="22"/>
            <w:szCs w:val="22"/>
          </w:rPr>
          <w:t>http://www.caupr.gov.br</w:t>
        </w:r>
      </w:hyperlink>
      <w:r>
        <w:rPr>
          <w:rFonts w:ascii="Times New Roman" w:hAnsi="Times New Roman"/>
          <w:sz w:val="22"/>
          <w:szCs w:val="22"/>
        </w:rPr>
        <w:t xml:space="preserve"> para a divulgação de quaisquer informações públicas sobre o presente processo de seleção, sem prejuízo da utilização de outros veículos de comunicação, oficiais ou não, de que o CAU/PR venha a dispor.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também estabelecido o endereço eletrônico </w:t>
      </w:r>
      <w:hyperlink r:id="rId5">
        <w:r>
          <w:rPr>
            <w:rStyle w:val="LinkdaInternet"/>
            <w:rFonts w:ascii="Times New Roman" w:hAnsi="Times New Roman"/>
            <w:sz w:val="22"/>
            <w:szCs w:val="22"/>
          </w:rPr>
          <w:t>comunicacao@caupr.gov.br</w:t>
        </w:r>
      </w:hyperlink>
      <w:r>
        <w:rPr>
          <w:rFonts w:ascii="Times New Roman" w:hAnsi="Times New Roman"/>
          <w:color w:val="000000"/>
          <w:sz w:val="22"/>
          <w:szCs w:val="22"/>
        </w:rPr>
        <w:t xml:space="preserve"> </w:t>
      </w:r>
      <w:r>
        <w:rPr>
          <w:rFonts w:ascii="Times New Roman" w:hAnsi="Times New Roman"/>
          <w:sz w:val="22"/>
          <w:szCs w:val="22"/>
        </w:rPr>
        <w:t>para esclarecimentos de dúvidas com relação ao Edital ou com relação à execução da parceria e 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 modalidade ou título que concedeu direitos de uso de tais bens;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finais decorrentes das parcerias firmadas com o CAU/PR, nos termos deste Edital.</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FORO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DOCUMENTOS INTEGRANTES DESTE EDITAL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6">
        <w:r>
          <w:rPr>
            <w:rFonts w:ascii="Times New Roman" w:hAnsi="Times New Roman"/>
            <w:sz w:val="22"/>
            <w:szCs w:val="22"/>
          </w:rPr>
          <w:t>Anexo I – Formulário de Apresentação do Projeto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7">
        <w:r>
          <w:rPr>
            <w:rFonts w:ascii="Times New Roman" w:hAnsi="Times New Roman"/>
            <w:sz w:val="22"/>
            <w:szCs w:val="22"/>
          </w:rPr>
          <w:t>Anexo II – Plano de Trabalho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8">
        <w:r>
          <w:rPr>
            <w:rFonts w:ascii="Times New Roman" w:hAnsi="Times New Roman"/>
            <w:sz w:val="22"/>
            <w:szCs w:val="22"/>
          </w:rPr>
          <w:t>Anexo III – Declaração – art. 26, IX,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9">
        <w:r>
          <w:rPr>
            <w:rFonts w:ascii="Times New Roman" w:hAnsi="Times New Roman"/>
            <w:sz w:val="22"/>
            <w:szCs w:val="22"/>
          </w:rPr>
          <w:t>Anexo IV – Declaração – Vedação – Dirigentes CAUBR e CAUUF</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0">
        <w:r>
          <w:rPr>
            <w:rFonts w:ascii="Times New Roman" w:hAnsi="Times New Roman"/>
            <w:sz w:val="22"/>
            <w:szCs w:val="22"/>
          </w:rPr>
          <w:t>Anexo V – Declaração – art. 26, 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1">
        <w:r>
          <w:rPr>
            <w:rFonts w:ascii="Times New Roman" w:hAnsi="Times New Roman"/>
            <w:sz w:val="22"/>
            <w:szCs w:val="22"/>
          </w:rPr>
          <w:t>Anexo VI – Declaração – art. 27, I, a e b,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2">
        <w:r>
          <w:rPr>
            <w:rFonts w:ascii="Times New Roman" w:hAnsi="Times New Roman"/>
            <w:sz w:val="22"/>
            <w:szCs w:val="22"/>
          </w:rPr>
          <w:t>Anexo VII – Declaração – art. 27, II,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3">
        <w:r>
          <w:rPr>
            <w:rFonts w:ascii="Times New Roman" w:hAnsi="Times New Roman"/>
            <w:sz w:val="22"/>
            <w:szCs w:val="22"/>
          </w:rPr>
          <w:t>Anexo VIII – Declaração – art. 27, III, Decreto 8726-2016 – 003-2018</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4">
        <w:r>
          <w:rPr>
            <w:rFonts w:ascii="Times New Roman" w:hAnsi="Times New Roman"/>
            <w:sz w:val="22"/>
            <w:szCs w:val="22"/>
          </w:rPr>
          <w:t>Anexo IX – Declaração – art. 33,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5">
        <w:r>
          <w:rPr>
            <w:rFonts w:ascii="Times New Roman" w:hAnsi="Times New Roman"/>
            <w:sz w:val="22"/>
            <w:szCs w:val="22"/>
          </w:rPr>
          <w:t>Anexo X – Declaração de recebimento de repasse de recurso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6">
        <w:r>
          <w:rPr>
            <w:rFonts w:ascii="Times New Roman" w:hAnsi="Times New Roman"/>
            <w:sz w:val="22"/>
            <w:szCs w:val="22"/>
          </w:rPr>
          <w:t>Anexo XI – Manual Prestação Contas</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7">
        <w:r>
          <w:rPr>
            <w:rFonts w:ascii="Times New Roman" w:hAnsi="Times New Roman"/>
            <w:sz w:val="22"/>
            <w:szCs w:val="22"/>
          </w:rPr>
          <w:t>Apenso 1 – Relatório Final Execução do Objeto</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8">
        <w:r>
          <w:rPr>
            <w:rFonts w:ascii="Times New Roman" w:hAnsi="Times New Roman"/>
            <w:sz w:val="22"/>
            <w:szCs w:val="22"/>
          </w:rPr>
          <w:t>Apenso 2 – Relatório Final Execução Financeira</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9">
        <w:r>
          <w:rPr>
            <w:rFonts w:ascii="Times New Roman" w:hAnsi="Times New Roman"/>
            <w:sz w:val="22"/>
            <w:szCs w:val="22"/>
          </w:rPr>
          <w:t>Anexo XII – Minuta Termo de Fomento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20">
        <w:r>
          <w:rPr>
            <w:rFonts w:ascii="Times New Roman" w:hAnsi="Times New Roman"/>
            <w:sz w:val="22"/>
            <w:szCs w:val="22"/>
          </w:rPr>
          <w:t>Anexo XIII – Cronograma</w:t>
        </w:r>
      </w:hyperlink>
    </w:p>
    <w:p>
      <w:pPr>
        <w:pStyle w:val="Normal"/>
        <w:spacing w:before="121" w:after="0"/>
        <w:ind w:right="106" w:hanging="0"/>
        <w:rPr>
          <w:sz w:val="22"/>
          <w:szCs w:val="22"/>
        </w:rPr>
      </w:pPr>
      <w:r>
        <w:rPr>
          <w:sz w:val="22"/>
          <w:szCs w:val="22"/>
        </w:rPr>
      </w:r>
    </w:p>
    <w:p>
      <w:pPr>
        <w:pStyle w:val="Normal"/>
        <w:spacing w:before="0" w:after="160"/>
        <w:jc w:val="center"/>
        <w:rPr>
          <w:sz w:val="22"/>
          <w:szCs w:val="22"/>
        </w:rPr>
      </w:pPr>
      <w:r>
        <w:rPr>
          <w:sz w:val="22"/>
          <w:szCs w:val="22"/>
        </w:rPr>
        <w:t>Curitiba (PR), 03 de outubro de 2022</w:t>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jc w:val="center"/>
        <w:rPr>
          <w:b/>
          <w:b/>
          <w:sz w:val="22"/>
          <w:szCs w:val="22"/>
        </w:rPr>
      </w:pPr>
      <w:r>
        <w:rPr>
          <w:b/>
          <w:sz w:val="22"/>
          <w:szCs w:val="22"/>
        </w:rPr>
        <w:t>Milton Carlos Zanelatto Gonçalves</w:t>
      </w:r>
    </w:p>
    <w:p>
      <w:pPr>
        <w:pStyle w:val="Normal"/>
        <w:jc w:val="center"/>
        <w:rPr>
          <w:b/>
          <w:b/>
          <w:sz w:val="22"/>
          <w:szCs w:val="22"/>
        </w:rPr>
      </w:pPr>
      <w:r>
        <w:rPr>
          <w:b/>
          <w:sz w:val="22"/>
          <w:szCs w:val="22"/>
        </w:rPr>
        <w:t>Presidente do CAU/PR</w:t>
      </w:r>
    </w:p>
    <w:p>
      <w:pPr>
        <w:pStyle w:val="Normal"/>
        <w:spacing w:before="0" w:after="160"/>
        <w:rPr>
          <w:sz w:val="22"/>
        </w:rPr>
      </w:pPr>
      <w:r>
        <w:rPr/>
      </w:r>
    </w:p>
    <w:sectPr>
      <w:headerReference w:type="default" r:id="rId21"/>
      <w:footerReference w:type="default" r:id="rId22"/>
      <w:type w:val="nextPage"/>
      <w:pgSz w:w="11906" w:h="16838"/>
      <w:pgMar w:left="1701" w:right="1134" w:header="709" w:top="170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b/>
        <w:b/>
        <w:color w:val="006666"/>
        <w:sz w:val="18"/>
      </w:rPr>
    </w:pPr>
    <w:r>
      <w:rPr>
        <w:b/>
        <w:color w:val="006666"/>
        <w:sz w:val="18"/>
      </w:rPr>
      <w:t>Conselho de Arquitetura e Urbanismo do Paraná.</w:t>
    </w:r>
  </w:p>
  <w:p>
    <w:pPr>
      <w:pStyle w:val="Rodap"/>
      <w:ind w:left="-567" w:hanging="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2727070"/>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24">
              <wp:simplePos x="0" y="0"/>
              <wp:positionH relativeFrom="column">
                <wp:posOffset>-523875</wp:posOffset>
              </wp:positionH>
              <wp:positionV relativeFrom="paragraph">
                <wp:posOffset>-238760</wp:posOffset>
              </wp:positionV>
              <wp:extent cx="5400040" cy="630555"/>
              <wp:effectExtent l="0" t="0" r="0" b="0"/>
              <wp:wrapNone/>
              <wp:docPr id="7"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19</w:t>
        </w:r>
        <w:r>
          <w:rPr>
            <w:sz w:val="20"/>
            <w:b/>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23</w:t>
        </w:r>
        <w:r>
          <w:rPr>
            <w:sz w:val="20"/>
            <w:b/>
            <w:bCs/>
            <w:rFonts w:cs="Calibri" w:ascii="Calibri" w:hAnsi="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0" w:hanging="0"/>
      </w:pPr>
      <w:rPr>
        <w:b/>
      </w:rPr>
    </w:lvl>
    <w:lvl w:ilvl="2">
      <w:start w:val="1"/>
      <w:numFmt w:val="decimal"/>
      <w:lvlText w:val="%1.%2.%3"/>
      <w:lvlJc w:val="left"/>
      <w:pPr>
        <w:tabs>
          <w:tab w:val="num" w:pos="3543"/>
        </w:tabs>
        <w:ind w:left="5681" w:hanging="720"/>
      </w:pPr>
      <w:rPr>
        <w:b/>
        <w:bCs w:val="false"/>
        <w:color w:val="000000"/>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3">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4">
    <w:lvl w:ilvl="0">
      <w:start w:val="1"/>
      <w:numFmt w:val="lowerLetter"/>
      <w:lvlText w:val="%1)"/>
      <w:lvlJc w:val="left"/>
      <w:pPr>
        <w:tabs>
          <w:tab w:val="num" w:pos="0"/>
        </w:tabs>
        <w:ind w:left="2126" w:hanging="360"/>
      </w:p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5">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6">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7">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8">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9">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0">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sz w:val="22"/>
        <w:b/>
        <w:szCs w:val="22"/>
        <w:w w:val="100"/>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1">
    <w:lvl w:ilvl="0">
      <w:start w:val="1"/>
      <w:numFmt w:val="upperRoman"/>
      <w:lvlText w:val="%1-"/>
      <w:lvlJc w:val="left"/>
      <w:pPr>
        <w:tabs>
          <w:tab w:val="num" w:pos="0"/>
        </w:tabs>
        <w:ind w:left="1287" w:hanging="720"/>
      </w:pPr>
      <w:rPr>
        <w:sz w:val="22"/>
        <w:rFonts w:ascii="Times New Roman" w:hAnsi="Times New Roman" w:cs="Times New Roman"/>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7635"/>
    <w:pPr>
      <w:widowControl/>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293718"/>
    <w:rPr>
      <w:color w:val="0563C1" w:themeColor="hyperlink"/>
      <w:u w:val="single"/>
    </w:rPr>
  </w:style>
  <w:style w:type="character" w:styleId="CorpodetextoChar" w:customStyle="1">
    <w:name w:val="Corpo de texto Char"/>
    <w:basedOn w:val="DefaultParagraphFont"/>
    <w:link w:val="Corpodetexto"/>
    <w:uiPriority w:val="1"/>
    <w:qFormat/>
    <w:rsid w:val="00240820"/>
    <w:rPr>
      <w:rFonts w:ascii="Arial" w:hAnsi="Arial" w:eastAsia="Arial" w:cs="Arial"/>
      <w:lang w:eastAsia="pt-BR" w:bidi="pt-BR"/>
    </w:rPr>
  </w:style>
  <w:style w:type="character" w:styleId="Annotationreference">
    <w:name w:val="annotation reference"/>
    <w:basedOn w:val="DefaultParagraphFont"/>
    <w:uiPriority w:val="99"/>
    <w:semiHidden/>
    <w:unhideWhenUsed/>
    <w:qFormat/>
    <w:rsid w:val="00d54bf5"/>
    <w:rPr>
      <w:sz w:val="16"/>
      <w:szCs w:val="16"/>
    </w:rPr>
  </w:style>
  <w:style w:type="character" w:styleId="TextodecomentrioChar" w:customStyle="1">
    <w:name w:val="Texto de comentário Char"/>
    <w:basedOn w:val="DefaultParagraphFont"/>
    <w:link w:val="Textodecomentrio"/>
    <w:uiPriority w:val="99"/>
    <w:qFormat/>
    <w:rsid w:val="00d54bf5"/>
    <w:rPr>
      <w:rFonts w:ascii="Times New Roman" w:hAnsi="Times New Roman" w:eastAsia="Times New Roman" w:cs="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d54bf5"/>
    <w:rPr>
      <w:rFonts w:ascii="Times New Roman" w:hAnsi="Times New Roman" w:eastAsia="Times New Roman" w:cs="Times New Roman"/>
      <w:b/>
      <w:bCs/>
      <w:sz w:val="20"/>
      <w:szCs w:val="20"/>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1"/>
    <w:qFormat/>
    <w:rsid w:val="00240820"/>
    <w:pPr>
      <w:widowControl w:val="false"/>
      <w:spacing w:before="119" w:after="0"/>
      <w:ind w:left="1234" w:hanging="0"/>
    </w:pPr>
    <w:rPr>
      <w:sz w:val="22"/>
      <w:lang w:bidi="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iPriority w:val="99"/>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Xmsonormal" w:customStyle="1">
    <w:name w:val="x_msonormal"/>
    <w:basedOn w:val="Normal"/>
    <w:qFormat/>
    <w:rsid w:val="004444d6"/>
    <w:pPr>
      <w:spacing w:beforeAutospacing="1" w:afterAutospacing="1"/>
    </w:pPr>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1"/>
    <w:qFormat/>
    <w:rsid w:val="00480a6c"/>
    <w:pPr>
      <w:widowControl w:val="false"/>
      <w:suppressAutoHyphens w:val="true"/>
      <w:ind w:left="708" w:hanging="0"/>
    </w:pPr>
    <w:rPr>
      <w:rFonts w:ascii="Cambria" w:hAnsi="Cambria" w:eastAsia="MS Mincho"/>
      <w:lang w:eastAsia="ar-SA"/>
    </w:rPr>
  </w:style>
  <w:style w:type="paragraph" w:styleId="TableParagraph" w:customStyle="1">
    <w:name w:val="Table Paragraph"/>
    <w:basedOn w:val="Normal"/>
    <w:uiPriority w:val="1"/>
    <w:qFormat/>
    <w:rsid w:val="00ba59c2"/>
    <w:pPr>
      <w:widowControl w:val="false"/>
    </w:pPr>
    <w:rPr>
      <w:sz w:val="22"/>
      <w:lang w:bidi="pt-BR"/>
    </w:rPr>
  </w:style>
  <w:style w:type="paragraph" w:styleId="NormalWeb">
    <w:name w:val="Normal (Web)"/>
    <w:basedOn w:val="Normal"/>
    <w:uiPriority w:val="99"/>
    <w:semiHidden/>
    <w:unhideWhenUsed/>
    <w:qFormat/>
    <w:rsid w:val="006e1bb2"/>
    <w:pPr>
      <w:spacing w:beforeAutospacing="1" w:afterAutospacing="1"/>
    </w:pPr>
    <w:rPr/>
  </w:style>
  <w:style w:type="paragraph" w:styleId="Default" w:customStyle="1">
    <w:name w:val="Default"/>
    <w:qFormat/>
    <w:rsid w:val="006c005a"/>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Revision">
    <w:name w:val="Revision"/>
    <w:uiPriority w:val="99"/>
    <w:semiHidden/>
    <w:qFormat/>
    <w:rsid w:val="00fc679d"/>
    <w:pPr>
      <w:widowControl/>
      <w:suppressAutoHyphens w:val="true"/>
      <w:bidi w:val="0"/>
      <w:spacing w:before="0" w:after="0"/>
      <w:jc w:val="left"/>
    </w:pPr>
    <w:rPr>
      <w:rFonts w:ascii="Arial" w:hAnsi="Arial" w:eastAsia="Arial" w:cs="Arial"/>
      <w:color w:val="000000"/>
      <w:kern w:val="0"/>
      <w:sz w:val="24"/>
      <w:szCs w:val="22"/>
      <w:lang w:val="pt-BR" w:eastAsia="pt-BR" w:bidi="ar-SA"/>
    </w:rPr>
  </w:style>
  <w:style w:type="paragraph" w:styleId="Contedodoquadro" w:customStyle="1">
    <w:name w:val="Conteúdo do quadro"/>
    <w:basedOn w:val="Normal"/>
    <w:qFormat/>
    <w:pPr/>
    <w:rPr/>
  </w:style>
  <w:style w:type="paragraph" w:styleId="Annotationtext">
    <w:name w:val="annotation text"/>
    <w:basedOn w:val="Normal"/>
    <w:link w:val="TextodecomentrioChar"/>
    <w:uiPriority w:val="99"/>
    <w:unhideWhenUsed/>
    <w:qFormat/>
    <w:rsid w:val="00d54bf5"/>
    <w:pPr/>
    <w:rPr>
      <w:sz w:val="20"/>
      <w:szCs w:val="20"/>
    </w:rPr>
  </w:style>
  <w:style w:type="paragraph" w:styleId="Annotationsubject">
    <w:name w:val="annotation subject"/>
    <w:basedOn w:val="Annotationtext"/>
    <w:next w:val="Annotationtext"/>
    <w:link w:val="AssuntodocomentrioChar"/>
    <w:uiPriority w:val="99"/>
    <w:semiHidden/>
    <w:unhideWhenUsed/>
    <w:qFormat/>
    <w:rsid w:val="00d54bf5"/>
    <w:pPr/>
    <w:rPr>
      <w:b/>
      <w:bCs/>
    </w:rPr>
  </w:style>
  <w:style w:type="numbering" w:styleId="NoList" w:default="1">
    <w:name w:val="No List"/>
    <w:uiPriority w:val="99"/>
    <w:semiHidden/>
    <w:unhideWhenUsed/>
    <w:qFormat/>
  </w:style>
  <w:style w:type="numbering" w:styleId="Listaatual1" w:customStyle="1">
    <w:name w:val="Lista atual1"/>
    <w:uiPriority w:val="99"/>
    <w:qFormat/>
    <w:rsid w:val="005306e4"/>
  </w:style>
  <w:style w:type="numbering" w:styleId="Listaatual2" w:customStyle="1">
    <w:name w:val="Lista atual2"/>
    <w:uiPriority w:val="99"/>
    <w:qFormat/>
    <w:rsid w:val="005306e4"/>
  </w:style>
  <w:style w:type="numbering" w:styleId="Listaatual3" w:customStyle="1">
    <w:name w:val="Lista atual3"/>
    <w:uiPriority w:val="99"/>
    <w:qFormat/>
    <w:rsid w:val="00b05b33"/>
  </w:style>
  <w:style w:type="numbering" w:styleId="Listaatual4" w:customStyle="1">
    <w:name w:val="Lista atual4"/>
    <w:uiPriority w:val="99"/>
    <w:qFormat/>
    <w:rsid w:val="00756225"/>
  </w:style>
  <w:style w:type="numbering" w:styleId="Listaatual5" w:customStyle="1">
    <w:name w:val="Lista atual5"/>
    <w:uiPriority w:val="99"/>
    <w:qFormat/>
    <w:rsid w:val="00756225"/>
  </w:style>
  <w:style w:type="numbering" w:styleId="Listaatual6" w:customStyle="1">
    <w:name w:val="Lista atual6"/>
    <w:uiPriority w:val="99"/>
    <w:qFormat/>
    <w:rsid w:val="00756225"/>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4" Type="http://schemas.openxmlformats.org/officeDocument/2006/relationships/hyperlink" Target="http://www.caupr.gov.br/" TargetMode="External"/><Relationship Id="rId5" Type="http://schemas.openxmlformats.org/officeDocument/2006/relationships/hyperlink" Target="mailto:comunicacao@caupr.gov.br" TargetMode="External"/><Relationship Id="rId6" Type="http://schemas.openxmlformats.org/officeDocument/2006/relationships/hyperlink" Target="https://transparencia.causp.gov.br/wp-content/uploads/2.-ANEXO-II-Formul&#225;rio-de-Apresenta&#231;&#227;o-do-Projeto.doc" TargetMode="External"/><Relationship Id="rId7" Type="http://schemas.openxmlformats.org/officeDocument/2006/relationships/hyperlink" Target="https://transparencia.causp.gov.br/wp-content/uploads/3.-ANEXO-III-Plano-de-Trabalho.docx" TargetMode="External"/><Relationship Id="rId8" Type="http://schemas.openxmlformats.org/officeDocument/2006/relationships/hyperlink" Target="https://transparencia.causp.gov.br/wp-content/uploads/4.-ANEXO-IV-Declara&#231;&#227;o-art.-26-IX-Decreto-8.726-2016.doc" TargetMode="External"/><Relationship Id="rId9" Type="http://schemas.openxmlformats.org/officeDocument/2006/relationships/hyperlink" Target="https://transparencia.causp.gov.br/wp-content/uploads/5.-ANEXO-V-Declara&#231;&#227;o-Veda&#231;&#227;o-Dirigentes-CAUBR-e-CAUUF.doc" TargetMode="External"/><Relationship Id="rId10" Type="http://schemas.openxmlformats.org/officeDocument/2006/relationships/hyperlink" Target="https://transparencia.causp.gov.br/wp-content/uploads/6.-ANEXO-VI-Declara&#231;&#227;o-art.-26-X-Decreto-8.726-2016.doc" TargetMode="External"/><Relationship Id="rId11" Type="http://schemas.openxmlformats.org/officeDocument/2006/relationships/hyperlink" Target="https://transparencia.causp.gov.br/wp-content/uploads/7.-ANEXO-VII-Declara&#231;&#227;o-art.-27-I-a-e-b-Decreto-8726-2016.doc" TargetMode="External"/><Relationship Id="rId12" Type="http://schemas.openxmlformats.org/officeDocument/2006/relationships/hyperlink" Target="https://transparencia.causp.gov.br/wp-content/uploads/8.-ANEXO-VIII-Declara&#231;&#227;o-art.-27-II-Decreto-8726-2016.doc" TargetMode="External"/><Relationship Id="rId13" Type="http://schemas.openxmlformats.org/officeDocument/2006/relationships/hyperlink" Target="https://transparencia.causp.gov.br/wp-content/uploads/9.-ANEXO-IX-Declara&#231;&#227;o-art.-27-III-Decreto-8726-2016.doc" TargetMode="External"/><Relationship Id="rId14" Type="http://schemas.openxmlformats.org/officeDocument/2006/relationships/hyperlink" Target="https://transparencia.causp.gov.br/wp-content/uploads/10.-ANEXO-X-Declara&#231;&#227;o-art.-33-Decreto-8726-2016.doc" TargetMode="External"/><Relationship Id="rId15" Type="http://schemas.openxmlformats.org/officeDocument/2006/relationships/hyperlink" Target="https://transparencia.causp.gov.br/wp-content/uploads/11.-ANEXO-XI-Declara&#231;&#227;o-de-recebimento-de-repasse-de-recurso.doc" TargetMode="External"/><Relationship Id="rId16" Type="http://schemas.openxmlformats.org/officeDocument/2006/relationships/hyperlink" Target="https://transparencia.causp.gov.br/wp-content/uploads/12.-ANEXO-XII-Manual-Presta&#231;&#227;o-Contas.doc" TargetMode="External"/><Relationship Id="rId17" Type="http://schemas.openxmlformats.org/officeDocument/2006/relationships/hyperlink" Target="https://transparencia.causp.gov.br/wp-content/uploads/13.-ANEXO-XII-Apenso-1-Relat&#243;rio-Final-Execu&#231;&#227;o-do-Objeto.docx" TargetMode="External"/><Relationship Id="rId18" Type="http://schemas.openxmlformats.org/officeDocument/2006/relationships/hyperlink" Target="https://transparencia.causp.gov.br/wp-content/uploads/14.-ANEXO-XII-Apenso-2-Relat&#243;rio-Final-Execu&#231;&#227;o-Financeira.docx" TargetMode="External"/><Relationship Id="rId19" Type="http://schemas.openxmlformats.org/officeDocument/2006/relationships/hyperlink" Target="https://transparencia.causp.gov.br/wp-content/uploads/15.-ANEXO-XIII-Minuta-Termo-de-Fomento.doc" TargetMode="External"/><Relationship Id="rId20" Type="http://schemas.openxmlformats.org/officeDocument/2006/relationships/hyperlink" Target="https://transparencia.causp.gov.br/wp-content/uploads/16.-ANEXO-XIV-Cronograma-2&#170;-Publica&#231;&#227;o.docx"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104D-AC18-447E-97B7-AE8CC555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LibreOffice/7.1.3.2$Windows_X86_64 LibreOffice_project/47f78053abe362b9384784d31a6e56f8511eb1c1</Application>
  <AppVersion>15.0000</AppVersion>
  <Pages>23</Pages>
  <Words>9835</Words>
  <Characters>55012</Characters>
  <CharactersWithSpaces>64198</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2022-10-03T18:27:00Z</dcterms:created>
  <dc:creator>user</dc:creator>
  <dc:description/>
  <dc:language>pt-BR</dc:language>
  <cp:lastModifiedBy/>
  <cp:lastPrinted>2019-09-13T13:19:00Z</cp:lastPrinted>
  <dcterms:modified xsi:type="dcterms:W3CDTF">2022-10-03T16:53:52Z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