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001/2021</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PATROCÍNIO CULTURAL, TÉCNICO E DE PATRIMÔNIO HISTÓRICO</w:t>
      </w:r>
    </w:p>
    <w:p>
      <w:pPr>
        <w:pStyle w:val="Normal"/>
        <w:rPr>
          <w:rFonts w:ascii="Times New Roman" w:hAnsi="Times New Roman" w:cs="Times New Roman"/>
        </w:rPr>
      </w:pPr>
      <w:r>
        <w:rPr>
          <w:rFonts w:cs="Times New Roman" w:ascii="Times New Roman" w:hAnsi="Times New Roman"/>
        </w:rPr>
      </w:r>
    </w:p>
    <w:p>
      <w:pPr>
        <w:pStyle w:val="Normal"/>
        <w:spacing w:lineRule="auto" w:line="264" w:before="0" w:after="120"/>
        <w:ind w:left="0" w:hanging="0"/>
        <w:rPr>
          <w:rFonts w:ascii="Times New Roman" w:hAnsi="Times New Roman" w:cs="Times New Roman"/>
          <w:sz w:val="22"/>
        </w:rPr>
      </w:pPr>
      <w:r>
        <w:rPr>
          <w:rFonts w:cs="Times New Roman" w:ascii="Times New Roman" w:hAnsi="Times New Roman"/>
          <w:sz w:val="22"/>
        </w:rPr>
        <w:t xml:space="preserve">O Conselho de Arquitetura e Urbanismo do Paraná – CAU/PR, Autarquia Federal criada pela Lei nº 12.378, de 31 de dezembro de 2010, dotada de personalidade jurídica de direito público, no uso de suas atribuições, </w:t>
      </w:r>
      <w:r>
        <w:rPr>
          <w:rFonts w:cs="Times New Roman" w:ascii="Times New Roman" w:hAnsi="Times New Roman"/>
          <w:color w:val="auto"/>
          <w:sz w:val="22"/>
        </w:rPr>
        <w:t xml:space="preserve">conforme artigo 3° de seu </w:t>
      </w:r>
      <w:r>
        <w:rPr>
          <w:rFonts w:cs="Times New Roman" w:ascii="Times New Roman" w:hAnsi="Times New Roman"/>
          <w:sz w:val="22"/>
        </w:rPr>
        <w:t xml:space="preserve">Regimento Interno, TORNA PÚBLICO O </w:t>
      </w:r>
      <w:r>
        <w:rPr>
          <w:rFonts w:cs="Times New Roman" w:ascii="Times New Roman" w:hAnsi="Times New Roman"/>
          <w:color w:val="auto"/>
          <w:sz w:val="22"/>
        </w:rPr>
        <w:t>PRESENTE CHAMAMENTO, sob a regência das Leis Federais n° 13.019/2014 e 12.378/2010, Decreto nº 8.726/2016, Deliberação Plenária CAU/PR N° 0099-08/2019, de 27 de agosto de 2019,</w:t>
      </w:r>
      <w:r>
        <w:rPr>
          <w:rFonts w:cs="Times New Roman" w:ascii="Times New Roman" w:hAnsi="Times New Roman"/>
          <w:color w:val="FF0000"/>
          <w:sz w:val="22"/>
        </w:rPr>
        <w:t xml:space="preserve"> </w:t>
      </w:r>
      <w:r>
        <w:rPr>
          <w:rFonts w:cs="Times New Roman" w:ascii="Times New Roman" w:hAnsi="Times New Roman"/>
          <w:sz w:val="22"/>
        </w:rPr>
        <w:t>e demais normas vigentes pertinentes à matéria, com a finalidade de selecionar Organizações da Sociedade Civil (OSC) para firmar parceria, por meio de Termo de Fomento, para o desenvolvimento e a execução de projetos na modalidade de Patrocínio Cultural, Técnico e de Patrimônio Histórico, conforme as condições estabelecidas neste Edital e seus anexos.</w:t>
      </w:r>
    </w:p>
    <w:p>
      <w:pPr>
        <w:pStyle w:val="Normal"/>
        <w:ind w:left="0" w:hanging="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3"/>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Este Chamamento Público tem por objeto a seleção de Organizações da Sociedade Civil (OSC) para firmar parceria com o Conselho de Arquitetura e Urbanismo de Paraná – CAU/PR, por meio de Termo de Fomento, para o desenvolvimento e a execução de projetos na modalidade de Patrocínio Cultural, Técnico e de Patrimônio Histórico, observadas as regras gerais a seguir indicadas: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A apresentação de projetos referentes ao objeto deste Edital deverá observar </w:t>
      </w:r>
      <w:r>
        <w:rPr>
          <w:rFonts w:ascii="Times New Roman" w:hAnsi="Times New Roman"/>
          <w:b w:val="false"/>
          <w:bCs w:val="false"/>
          <w:color w:val="000000"/>
          <w:sz w:val="22"/>
          <w:szCs w:val="22"/>
        </w:rPr>
        <w:t xml:space="preserve">ao menos um dos objetivos </w:t>
      </w:r>
      <w:r>
        <w:rPr>
          <w:rFonts w:ascii="Times New Roman" w:hAnsi="Times New Roman"/>
          <w:b w:val="false"/>
          <w:bCs w:val="false"/>
          <w:color w:val="000000"/>
          <w:sz w:val="22"/>
          <w:szCs w:val="22"/>
        </w:rPr>
        <w:t>a seguir</w:t>
      </w:r>
      <w:r>
        <w:rPr>
          <w:rFonts w:ascii="Times New Roman" w:hAnsi="Times New Roman"/>
          <w:b w:val="false"/>
          <w:bCs w:val="false"/>
          <w:color w:val="000000"/>
          <w:sz w:val="22"/>
          <w:szCs w:val="22"/>
        </w:rPr>
        <w:t xml:space="preserve">, </w:t>
      </w:r>
      <w:r>
        <w:rPr>
          <w:rFonts w:ascii="Times New Roman" w:hAnsi="Times New Roman"/>
          <w:b w:val="false"/>
          <w:bCs w:val="false"/>
          <w:color w:val="000000"/>
          <w:sz w:val="22"/>
          <w:szCs w:val="22"/>
        </w:rPr>
        <w:t>constantes</w:t>
      </w:r>
      <w:r>
        <w:rPr>
          <w:rFonts w:ascii="Times New Roman" w:hAnsi="Times New Roman"/>
          <w:b w:val="false"/>
          <w:bCs w:val="false"/>
          <w:color w:val="000000"/>
          <w:sz w:val="22"/>
          <w:szCs w:val="22"/>
        </w:rPr>
        <w:t xml:space="preserve"> d</w:t>
      </w:r>
      <w:r>
        <w:rPr>
          <w:rFonts w:ascii="Times New Roman" w:hAnsi="Times New Roman"/>
          <w:sz w:val="22"/>
          <w:szCs w:val="22"/>
        </w:rPr>
        <w:t>o art. 7º da Deliberação Plenária CAU/PR N° 0099-08/2019, de 27 de agosto de 2019</w:t>
      </w:r>
      <w:r>
        <w:rPr>
          <w:rFonts w:ascii="Times New Roman" w:hAnsi="Times New Roman"/>
          <w:strike w:val="false"/>
          <w:dstrike w:val="false"/>
          <w:sz w:val="22"/>
          <w:szCs w:val="22"/>
        </w:rPr>
        <w:t>:</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11"/>
        </w:numPr>
        <w:spacing w:lineRule="auto" w:line="264" w:before="60" w:after="0"/>
        <w:ind w:left="1701"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A apresentação de projetos referentes ao objeto deste Edital deverá </w:t>
      </w:r>
      <w:r>
        <w:rPr>
          <w:rFonts w:ascii="Times New Roman" w:hAnsi="Times New Roman"/>
          <w:color w:val="000000"/>
          <w:sz w:val="22"/>
          <w:szCs w:val="22"/>
        </w:rPr>
        <w:t xml:space="preserve">atender uma </w:t>
      </w:r>
      <w:r>
        <w:rPr>
          <w:rFonts w:ascii="Times New Roman" w:hAnsi="Times New Roman"/>
          <w:color w:val="000000"/>
          <w:sz w:val="22"/>
          <w:szCs w:val="22"/>
        </w:rPr>
        <w:t xml:space="preserve">dentre </w:t>
      </w:r>
      <w:r>
        <w:rPr>
          <w:rFonts w:ascii="Times New Roman" w:hAnsi="Times New Roman"/>
          <w:color w:val="000000"/>
          <w:sz w:val="22"/>
          <w:szCs w:val="22"/>
        </w:rPr>
        <w:t xml:space="preserve">as modalidades </w:t>
      </w:r>
      <w:r>
        <w:rPr>
          <w:rFonts w:ascii="Times New Roman" w:hAnsi="Times New Roman"/>
          <w:color w:val="000000"/>
          <w:sz w:val="22"/>
          <w:szCs w:val="22"/>
        </w:rPr>
        <w:t>a seguir relacionadas</w:t>
      </w:r>
      <w:r>
        <w:rPr>
          <w:rFonts w:ascii="Times New Roman" w:hAnsi="Times New Roman"/>
          <w:color w:val="000000"/>
          <w:sz w:val="22"/>
          <w:szCs w:val="22"/>
        </w:rPr>
        <w:t>, previstas n</w:t>
      </w:r>
      <w:r>
        <w:rPr>
          <w:rFonts w:ascii="Times New Roman" w:hAnsi="Times New Roman"/>
          <w:sz w:val="22"/>
          <w:szCs w:val="22"/>
        </w:rPr>
        <w:t>o art. 6º da Deliberação Plenária CAU/PR N° 0099-08/2019, de 27 de agosto de 2019:</w:t>
      </w:r>
    </w:p>
    <w:p>
      <w:pPr>
        <w:pStyle w:val="ListParagraph"/>
        <w:numPr>
          <w:ilvl w:val="0"/>
          <w:numId w:val="12"/>
        </w:numPr>
        <w:spacing w:lineRule="auto" w:line="264" w:before="60" w:after="0"/>
        <w:ind w:left="1491" w:hanging="357"/>
        <w:jc w:val="both"/>
        <w:rPr>
          <w:rFonts w:ascii="Times New Roman" w:hAnsi="Times New Roman"/>
          <w:sz w:val="22"/>
          <w:szCs w:val="22"/>
        </w:rPr>
      </w:pPr>
      <w:r>
        <w:rPr>
          <w:rFonts w:ascii="Times New Roman" w:hAnsi="Times New Roman"/>
          <w:sz w:val="22"/>
          <w:szCs w:val="22"/>
        </w:rPr>
        <w:t>PUBLICAÇÕES: livros, outras publicações e mídias cujos conteúdos colaborem para fomentar a Arquitetura e o Urbanismo e disseminar informações relevantes para o segmento;</w:t>
      </w:r>
    </w:p>
    <w:p>
      <w:pPr>
        <w:pStyle w:val="ListParagraph"/>
        <w:numPr>
          <w:ilvl w:val="0"/>
          <w:numId w:val="12"/>
        </w:numPr>
        <w:spacing w:lineRule="auto" w:line="264" w:before="60" w:after="0"/>
        <w:ind w:left="1491" w:hanging="357"/>
        <w:jc w:val="both"/>
        <w:rPr>
          <w:rFonts w:ascii="Times New Roman" w:hAnsi="Times New Roman"/>
          <w:sz w:val="22"/>
          <w:szCs w:val="22"/>
        </w:rPr>
      </w:pPr>
      <w:r>
        <w:rPr>
          <w:rFonts w:ascii="Times New Roman" w:hAnsi="Times New Roman"/>
          <w:sz w:val="22"/>
          <w:szCs w:val="22"/>
        </w:rPr>
        <w:t>PRODUÇÕES: audiovisuais cujos conteúdos contribuam para o resgate e a memória da Arquitetura e Urbanismo paranaense.</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Normal"/>
        <w:spacing w:lineRule="auto" w:line="240" w:before="120" w:after="120"/>
        <w:ind w:left="567" w:right="106" w:hanging="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120" w:after="120"/>
        <w:jc w:val="both"/>
        <w:rPr>
          <w:rFonts w:ascii="Times New Roman" w:hAnsi="Times New Roman"/>
          <w:b/>
          <w:b/>
          <w:sz w:val="22"/>
          <w:szCs w:val="22"/>
        </w:rPr>
      </w:pPr>
      <w:r>
        <w:rPr>
          <w:rFonts w:ascii="Times New Roman" w:hAnsi="Times New Roman"/>
          <w:b/>
          <w:sz w:val="22"/>
          <w:szCs w:val="22"/>
        </w:rPr>
        <w:t>DAS DEFINIÇÕES</w:t>
      </w:r>
    </w:p>
    <w:p>
      <w:pPr>
        <w:pStyle w:val="ListParagraph"/>
        <w:numPr>
          <w:ilvl w:val="1"/>
          <w:numId w:val="2"/>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247"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247"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247" w:hanging="0"/>
        <w:jc w:val="both"/>
        <w:rPr>
          <w:rFonts w:ascii="Times New Roman" w:hAnsi="Times New Roman"/>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Comissão de seleção: órgão colegiado destinado a processar e julgar chamamentos públicos, constituído por ato publicado em meio oficial de comunicação, assegurada a participação de pelo menos um servidor ocupante de cargo efetivo ou emprego permanente do quadro de pessoal do CAU/PR;</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3"/>
        </w:numPr>
        <w:suppressAutoHyphens w:val="false"/>
        <w:spacing w:lineRule="auto" w:line="264" w:before="120" w:after="0"/>
        <w:ind w:left="1247"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60" w:after="0"/>
        <w:ind w:left="1247"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60" w:after="0"/>
        <w:ind w:left="1247"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before="121" w:after="0"/>
        <w:ind w:left="1701" w:right="106"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3"/>
        </w:numPr>
        <w:spacing w:before="0" w:after="240"/>
        <w:ind w:left="567" w:hanging="567"/>
        <w:jc w:val="both"/>
        <w:rPr>
          <w:rFonts w:ascii="Times New Roman" w:hAnsi="Times New Roman"/>
          <w:color w:val="000000"/>
          <w:sz w:val="22"/>
          <w:szCs w:val="22"/>
        </w:rPr>
      </w:pPr>
      <w:r>
        <w:rPr>
          <w:rFonts w:ascii="Times New Roman" w:hAnsi="Times New Roman"/>
          <w:b/>
          <w:color w:val="000000"/>
          <w:sz w:val="22"/>
          <w:szCs w:val="22"/>
        </w:rPr>
        <w:t>DA DESPESA E DOS RECURSOS ORÇAMENTÁRIOS</w:t>
      </w:r>
    </w:p>
    <w:p>
      <w:pPr>
        <w:pStyle w:val="ListParagraph"/>
        <w:numPr>
          <w:ilvl w:val="1"/>
          <w:numId w:val="3"/>
        </w:numPr>
        <w:spacing w:lineRule="auto" w:line="264"/>
        <w:ind w:left="567" w:hanging="567"/>
        <w:jc w:val="both"/>
        <w:rPr>
          <w:rFonts w:ascii="Times New Roman" w:hAnsi="Times New Roman"/>
          <w:color w:val="000000"/>
          <w:sz w:val="22"/>
          <w:szCs w:val="22"/>
        </w:rPr>
      </w:pPr>
      <w:r>
        <w:rPr>
          <w:rFonts w:ascii="Times New Roman" w:hAnsi="Times New Roman"/>
          <w:sz w:val="22"/>
          <w:szCs w:val="22"/>
        </w:rPr>
        <w:t>A despesa com a execução das parcerias a serem firmadas, nos termos deste Edital e previstos no Plano de Ação e Orçamento do CAU/PR para 2021, são do montante de R$ 95.000,00 (noventa e cinco mil reais).</w:t>
      </w:r>
    </w:p>
    <w:p>
      <w:pPr>
        <w:pStyle w:val="ListParagraph"/>
        <w:numPr>
          <w:ilvl w:val="2"/>
          <w:numId w:val="3"/>
        </w:numPr>
        <w:suppressAutoHyphens w:val="false"/>
        <w:spacing w:lineRule="auto" w:line="264" w:before="120" w:after="0"/>
        <w:ind w:left="1134" w:hanging="567"/>
        <w:jc w:val="both"/>
        <w:rPr>
          <w:rFonts w:ascii="Times New Roman" w:hAnsi="Times New Roman"/>
          <w:color w:val="000000"/>
          <w:sz w:val="22"/>
          <w:szCs w:val="22"/>
        </w:rPr>
      </w:pPr>
      <w:r>
        <w:rPr>
          <w:rFonts w:ascii="Times New Roman" w:hAnsi="Times New Roman"/>
          <w:color w:val="000000"/>
          <w:sz w:val="22"/>
          <w:szCs w:val="22"/>
        </w:rPr>
        <w:t>A Dotação Orçamentária para a despesa prevista, relativa ao exercício de 2021, advirá do Centro de Custos 4.01.04.02.01 – Projetos Assessoria de Comunicação – Patrocínios, rubrica 6.2.2.1.1.01.04.04.029 – Serviços de Eventos.</w:t>
      </w:r>
    </w:p>
    <w:p>
      <w:pPr>
        <w:pStyle w:val="Normal"/>
        <w:suppressAutoHyphens w:val="false"/>
        <w:spacing w:lineRule="auto" w:line="240" w:before="120" w:after="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120" w:after="0"/>
        <w:ind w:left="567" w:hanging="567"/>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numPr>
          <w:ilvl w:val="1"/>
          <w:numId w:val="3"/>
        </w:numPr>
        <w:spacing w:lineRule="auto" w:line="264"/>
        <w:ind w:left="567" w:hanging="567"/>
        <w:jc w:val="both"/>
        <w:rPr>
          <w:rFonts w:ascii="Times New Roman" w:hAnsi="Times New Roman"/>
          <w:color w:val="000000"/>
          <w:sz w:val="22"/>
          <w:szCs w:val="22"/>
        </w:rPr>
      </w:pPr>
      <w:r>
        <w:rPr>
          <w:rFonts w:ascii="Times New Roman" w:hAnsi="Times New Roman"/>
          <w:sz w:val="22"/>
          <w:szCs w:val="22"/>
        </w:rPr>
        <w:t>Podem participar do Chamamento Público quaisquer entidades privadas, sem fins lucrativos, que preencham, além do disposto na Lei nº 13.019/14, os seguintes requisitos:</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3"/>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3"/>
        </w:numPr>
        <w:spacing w:lineRule="auto" w:line="264" w:before="120" w:after="0"/>
        <w:ind w:left="1588" w:hanging="454"/>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ListParagraph"/>
        <w:numPr>
          <w:ilvl w:val="3"/>
          <w:numId w:val="3"/>
        </w:numPr>
        <w:spacing w:lineRule="auto" w:line="264" w:before="121" w:after="0"/>
        <w:ind w:left="1588" w:right="108" w:hanging="454"/>
        <w:jc w:val="both"/>
        <w:rPr>
          <w:rFonts w:ascii="Times New Roman" w:hAnsi="Times New Roman"/>
          <w:sz w:val="22"/>
          <w:szCs w:val="22"/>
        </w:rPr>
      </w:pPr>
      <w:r>
        <w:rPr>
          <w:rFonts w:ascii="Times New Roman" w:hAnsi="Times New Roman"/>
          <w:sz w:val="22"/>
          <w:szCs w:val="22"/>
        </w:rPr>
        <w:t>Empregado ou dirigente do CAU/BR ou dos CAU/UF, bem como seus cônjuges, companheiros ou parentes até segundo grau.</w:t>
      </w:r>
    </w:p>
    <w:p>
      <w:pPr>
        <w:pStyle w:val="ListParagraph"/>
        <w:numPr>
          <w:ilvl w:val="4"/>
          <w:numId w:val="13"/>
        </w:numPr>
        <w:spacing w:lineRule="auto" w:line="264" w:before="120" w:after="0"/>
        <w:ind w:left="2268" w:hanging="567"/>
        <w:jc w:val="both"/>
        <w:rPr>
          <w:rFonts w:ascii="Times New Roman" w:hAnsi="Times New Roman"/>
          <w:sz w:val="22"/>
          <w:szCs w:val="22"/>
        </w:rPr>
      </w:pPr>
      <w:r>
        <w:rPr>
          <w:rFonts w:ascii="Times New Roman" w:hAnsi="Times New Roman"/>
          <w:sz w:val="22"/>
          <w:szCs w:val="22"/>
        </w:rPr>
        <w:t>Entende-se por dirigentes do CAU/BR e dos CAU/UF, os conselheiros titulares e suplentes.</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As parcerias deverão ser executadas nos termos deste Edital, sendo vedado, ainda: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Pagar, a qualquer título, servidor ou empregado público com recursos vinculados à parceria, salvo nas hipóteses previstas em lei específica e na lei de diretrizes orçamentárias;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R$ 95.000,00 (noventa e cinco mil reais), sendo este valor distribuído </w:t>
      </w:r>
      <w:r>
        <w:rPr>
          <w:rFonts w:ascii="Times New Roman" w:hAnsi="Times New Roman"/>
          <w:color w:val="000000"/>
          <w:sz w:val="22"/>
          <w:szCs w:val="22"/>
        </w:rPr>
        <w:t>em 01 (um) projeto de publicação de valor de até R$ 35.000,00 (trinta e cinco mil reais) e 01 (um) projeto de audiovisual de até R$ 60.000,00 (sessenta mil reais);</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Somente são elegíveis projetos cuja execução inicie a</w:t>
      </w:r>
      <w:r>
        <w:rPr>
          <w:rFonts w:ascii="Times New Roman" w:hAnsi="Times New Roman"/>
          <w:b/>
          <w:sz w:val="22"/>
          <w:szCs w:val="22"/>
        </w:rPr>
        <w:t xml:space="preserve"> </w:t>
      </w:r>
      <w:r>
        <w:rPr>
          <w:rFonts w:ascii="Times New Roman" w:hAnsi="Times New Roman"/>
          <w:sz w:val="22"/>
          <w:szCs w:val="22"/>
        </w:rPr>
        <w:t xml:space="preserve">partir de janeiro de 2022 e conclusão não ultrapasse </w:t>
      </w:r>
      <w:r>
        <w:rPr>
          <w:rFonts w:ascii="Times New Roman" w:hAnsi="Times New Roman"/>
          <w:sz w:val="22"/>
          <w:szCs w:val="22"/>
        </w:rPr>
        <w:t>janei</w:t>
      </w:r>
      <w:r>
        <w:rPr>
          <w:rFonts w:ascii="Times New Roman" w:hAnsi="Times New Roman"/>
          <w:sz w:val="22"/>
          <w:szCs w:val="22"/>
        </w:rPr>
        <w:t>ro de 202</w:t>
      </w:r>
      <w:r>
        <w:rPr>
          <w:rFonts w:ascii="Times New Roman" w:hAnsi="Times New Roman"/>
          <w:sz w:val="22"/>
          <w:szCs w:val="22"/>
        </w:rPr>
        <w:t>3</w:t>
      </w:r>
      <w:r>
        <w:rPr>
          <w:rFonts w:ascii="Times New Roman" w:hAnsi="Times New Roman"/>
          <w:sz w:val="22"/>
          <w:szCs w:val="22"/>
        </w:rPr>
        <w:t>.</w:t>
      </w:r>
    </w:p>
    <w:p>
      <w:pPr>
        <w:pStyle w:val="ListParagraph"/>
        <w:numPr>
          <w:ilvl w:val="1"/>
          <w:numId w:val="3"/>
        </w:numPr>
        <w:spacing w:lineRule="auto" w:line="264" w:before="120" w:after="0"/>
        <w:ind w:left="567" w:hanging="567"/>
        <w:jc w:val="both"/>
        <w:rPr>
          <w:rFonts w:ascii="Times New Roman" w:hAnsi="Times New Roman"/>
          <w:color w:val="000000"/>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0" w:after="0"/>
        <w:ind w:left="567" w:hanging="567"/>
        <w:jc w:val="both"/>
        <w:rPr>
          <w:rFonts w:ascii="Times New Roman" w:hAnsi="Times New Roman"/>
          <w:b/>
          <w:b/>
          <w:sz w:val="22"/>
          <w:szCs w:val="22"/>
        </w:rPr>
      </w:pPr>
      <w:r>
        <w:rPr>
          <w:rFonts w:ascii="Times New Roman" w:hAnsi="Times New Roman"/>
          <w:b/>
          <w:sz w:val="22"/>
          <w:szCs w:val="22"/>
        </w:rPr>
        <w:t>DAS PROPOSTAS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interessadas em estabelecer a parceria, nos termos do presente edital, deverão apresentar a proposta do projeto, por meio do preenchimento das informações constantes no Formulário de Apresentação de Projeto, Anexo I, do presente Edital.</w:t>
      </w:r>
    </w:p>
    <w:p>
      <w:pPr>
        <w:pStyle w:val="ListParagraph"/>
        <w:numPr>
          <w:ilvl w:val="1"/>
          <w:numId w:val="3"/>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w:t>
      </w:r>
      <w:r>
        <w:rPr>
          <w:rFonts w:ascii="Times New Roman" w:hAnsi="Times New Roman"/>
          <w:color w:val="000000"/>
          <w:sz w:val="22"/>
          <w:szCs w:val="22"/>
        </w:rPr>
        <w:t>a</w:t>
      </w:r>
      <w:r>
        <w:rPr>
          <w:rFonts w:ascii="Times New Roman" w:hAnsi="Times New Roman"/>
          <w:color w:val="000000"/>
          <w:sz w:val="22"/>
          <w:szCs w:val="22"/>
        </w:rPr>
        <w:t xml:space="preserve">) admitidas: somente, as despesas previstas no Manual de Prestação de Contas – Anexo XI; </w:t>
      </w:r>
      <w:r>
        <w:rPr>
          <w:rFonts w:ascii="Times New Roman" w:hAnsi="Times New Roman"/>
          <w:color w:val="000000"/>
          <w:sz w:val="22"/>
          <w:szCs w:val="22"/>
        </w:rPr>
        <w:t>b</w:t>
      </w:r>
      <w:r>
        <w:rPr>
          <w:rFonts w:ascii="Times New Roman" w:hAnsi="Times New Roman"/>
          <w:color w:val="000000"/>
          <w:sz w:val="22"/>
          <w:szCs w:val="22"/>
        </w:rPr>
        <w:t xml:space="preserve">) vedadas: conforme artigo 45 da Lei nº 13.019/2015: </w:t>
      </w:r>
    </w:p>
    <w:p>
      <w:pPr>
        <w:pStyle w:val="ListParagraph"/>
        <w:numPr>
          <w:ilvl w:val="0"/>
          <w:numId w:val="14"/>
        </w:numPr>
        <w:suppressAutoHyphens w:val="false"/>
        <w:spacing w:lineRule="auto" w:line="264" w:before="60" w:after="0"/>
        <w:jc w:val="both"/>
        <w:rPr>
          <w:color w:val="000000"/>
        </w:rPr>
      </w:pPr>
      <w:r>
        <w:rPr>
          <w:rFonts w:ascii="Times New Roman" w:hAnsi="Times New Roman"/>
          <w:color w:val="000000"/>
          <w:sz w:val="22"/>
          <w:szCs w:val="22"/>
        </w:rPr>
        <w:t>utilizar recursos para finalidade alheia ao objeto da parceria;</w:t>
      </w:r>
      <w:bookmarkStart w:id="0" w:name="art45ii"/>
      <w:bookmarkEnd w:id="0"/>
    </w:p>
    <w:p>
      <w:pPr>
        <w:pStyle w:val="ListParagraph"/>
        <w:numPr>
          <w:ilvl w:val="0"/>
          <w:numId w:val="14"/>
        </w:numPr>
        <w:suppressAutoHyphens w:val="false"/>
        <w:spacing w:lineRule="auto" w:line="264" w:before="6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ListParagraph"/>
        <w:suppressAutoHyphens w:val="false"/>
        <w:spacing w:before="120" w:after="0"/>
        <w:ind w:left="567" w:hanging="0"/>
        <w:jc w:val="both"/>
        <w:rPr>
          <w:rFonts w:ascii="Times New Roman" w:hAnsi="Times New Roman"/>
          <w:color w:val="000000"/>
          <w:sz w:val="22"/>
          <w:szCs w:val="22"/>
        </w:rPr>
      </w:pPr>
      <w:r>
        <w:rPr>
          <w:rFonts w:ascii="Times New Roman" w:hAnsi="Times New Roman"/>
          <w:color w:val="000000"/>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APRESENTAÇÃO DAS PROPOSTAS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mc:AlternateContent>
          <mc:Choice Requires="wps">
            <w:drawing>
              <wp:anchor behindDoc="0" distT="15875" distB="0" distL="129540" distR="112395" simplePos="0" locked="0" layoutInCell="0" allowOverlap="1" relativeHeight="23" wp14:anchorId="5E8B0FDE">
                <wp:simplePos x="0" y="0"/>
                <wp:positionH relativeFrom="column">
                  <wp:posOffset>13970</wp:posOffset>
                </wp:positionH>
                <wp:positionV relativeFrom="paragraph">
                  <wp:posOffset>793750</wp:posOffset>
                </wp:positionV>
                <wp:extent cx="5674360" cy="1709420"/>
                <wp:effectExtent l="0" t="0" r="15875" b="18415"/>
                <wp:wrapTopAndBottom/>
                <wp:docPr id="1" name="Caixa de texto 1"/>
                <a:graphic xmlns:a="http://schemas.openxmlformats.org/drawingml/2006/main">
                  <a:graphicData uri="http://schemas.microsoft.com/office/word/2010/wordprocessingShape">
                    <wps:wsp>
                      <wps:cNvSpPr/>
                      <wps:spPr>
                        <a:xfrm>
                          <a:off x="0" y="0"/>
                          <a:ext cx="5673600" cy="1708920"/>
                        </a:xfrm>
                        <a:prstGeom prst="rect">
                          <a:avLst/>
                        </a:prstGeom>
                        <a:noFill/>
                        <a:ln w="6480">
                          <a:solidFill>
                            <a:srgbClr val="000000"/>
                          </a:solidFill>
                          <a:miter/>
                        </a:ln>
                      </wps:spPr>
                      <wps:style>
                        <a:lnRef idx="0"/>
                        <a:fillRef idx="0"/>
                        <a:effectRef idx="0"/>
                        <a:fontRef idx="minor"/>
                      </wps:style>
                      <wps:txb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PROPOSTA</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wps:txbx>
                      <wps:bodyPr lIns="0" rIns="0" tIns="0" bIns="0" upright="1">
                        <a:noAutofit/>
                      </wps:bodyPr>
                    </wps:wsp>
                  </a:graphicData>
                </a:graphic>
              </wp:anchor>
            </w:drawing>
          </mc:Choice>
          <mc:Fallback>
            <w:pict>
              <v:rect id="shape_0" ID="Caixa de texto 1" path="m0,0l-2147483645,0l-2147483645,-2147483646l0,-2147483646xe" stroked="t" style="position:absolute;margin-left:1.1pt;margin-top:62.5pt;width:446.7pt;height:134.5pt;mso-wrap-style:square;v-text-anchor:top" wp14:anchorId="5E8B0FDE">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PROPOSTA</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Não será aceita outra forma de apresentação dos envelopes além da descrita no item 7.1,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Será considerado pelo CAU/PR, para efeito de comprovação da data de entrega do projeto na sede do Conselho, a data de recebimento conforme constará </w:t>
      </w:r>
      <w:r>
        <w:rPr>
          <w:rFonts w:ascii="Times New Roman" w:hAnsi="Times New Roman"/>
          <w:color w:val="000000"/>
          <w:sz w:val="22"/>
          <w:szCs w:val="22"/>
        </w:rPr>
        <w:t>no A.R. dos Correios, ou a data do protocolo de entrega para os projetos entregues diretamente na sede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sz w:val="22"/>
          <w:szCs w:val="22"/>
        </w:rPr>
        <w:t>16/11/2021, até às</w:t>
      </w:r>
      <w:r>
        <w:rPr>
          <w:rFonts w:ascii="Times New Roman" w:hAnsi="Times New Roman"/>
          <w:b/>
          <w:spacing w:val="-10"/>
          <w:sz w:val="22"/>
          <w:szCs w:val="22"/>
        </w:rPr>
        <w:t xml:space="preserve"> </w:t>
      </w:r>
      <w:r>
        <w:rPr>
          <w:rFonts w:ascii="Times New Roman" w:hAnsi="Times New Roman"/>
          <w:b/>
          <w:sz w:val="22"/>
          <w:szCs w:val="22"/>
        </w:rPr>
        <w:t>15h59.</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3"/>
        </w:numPr>
        <w:suppressAutoHyphens w:val="false"/>
        <w:spacing w:lineRule="auto" w:line="264" w:before="60" w:after="0"/>
        <w:ind w:left="1134" w:hanging="567"/>
        <w:jc w:val="both"/>
        <w:rPr>
          <w:rFonts w:ascii="Times New Roman" w:hAnsi="Times New Roman"/>
          <w:sz w:val="22"/>
          <w:szCs w:val="22"/>
        </w:rPr>
      </w:pPr>
      <w:r>
        <w:rPr>
          <w:rFonts w:ascii="Times New Roman" w:hAnsi="Times New Roman"/>
          <w:sz w:val="22"/>
          <w:szCs w:val="22"/>
        </w:rPr>
        <w:t xml:space="preserve">Para os envelopes que forem postados via Correios, serão considerados aqueles que tiverem sido recebidos </w:t>
      </w:r>
      <w:r>
        <w:rPr>
          <w:rFonts w:ascii="Times New Roman" w:hAnsi="Times New Roman"/>
          <w:color w:val="000000"/>
          <w:sz w:val="22"/>
          <w:szCs w:val="22"/>
        </w:rPr>
        <w:t>até a data limite estabelecida no item 7.4</w:t>
      </w:r>
      <w:r>
        <w:rPr>
          <w:rFonts w:ascii="Times New Roman" w:hAnsi="Times New Roman"/>
          <w:sz w:val="22"/>
          <w:szCs w:val="22"/>
        </w:rPr>
        <w:t>.</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pelo projeto no Formulário de Apresentação de Projeto (Anexo I).</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por meio de Portaria deste Conselho, nos termos do Decreto nº 8.726/2016.</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Será eliminada a</w:t>
      </w:r>
      <w:r>
        <w:rPr>
          <w:rFonts w:ascii="Times New Roman" w:hAnsi="Times New Roman"/>
          <w:color w:val="000000"/>
          <w:sz w:val="22"/>
          <w:szCs w:val="22"/>
        </w:rPr>
        <w:t xml:space="preserve">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 xml:space="preserve">que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835"/>
        <w:gridCol w:w="5103"/>
        <w:gridCol w:w="1718"/>
      </w:tblGrid>
      <w:tr>
        <w:trPr>
          <w:trHeight w:val="724"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b/>
                <w:b/>
              </w:rPr>
            </w:pPr>
            <w:r>
              <w:rPr>
                <w:b/>
                <w:kern w:val="0"/>
                <w:szCs w:val="22"/>
                <w:lang w:val="en-US"/>
              </w:rPr>
              <w:t>Critérios</w:t>
            </w:r>
            <w:r>
              <w:rPr>
                <w:b/>
                <w:spacing w:val="-2"/>
                <w:kern w:val="0"/>
                <w:szCs w:val="22"/>
                <w:lang w:val="en-US"/>
              </w:rPr>
              <w:t xml:space="preserve"> </w:t>
            </w:r>
            <w:r>
              <w:rPr>
                <w:b/>
                <w:kern w:val="0"/>
                <w:szCs w:val="22"/>
                <w:lang w:val="en-US"/>
              </w:rPr>
              <w:t>de Julgamento</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b/>
                <w:b/>
              </w:rPr>
            </w:pPr>
            <w:r>
              <w:rPr>
                <w:b/>
                <w:kern w:val="0"/>
                <w:szCs w:val="22"/>
                <w:lang w:val="en-US"/>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b/>
                <w:b/>
              </w:rPr>
            </w:pPr>
            <w:r>
              <w:rPr>
                <w:b/>
                <w:kern w:val="0"/>
                <w:szCs w:val="22"/>
                <w:lang w:val="en-US"/>
              </w:rPr>
              <w:t>Pontuação Máxima por Item</w:t>
            </w:r>
          </w:p>
        </w:tc>
      </w:tr>
      <w:tr>
        <w:trPr>
          <w:trHeight w:val="1637"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146" w:right="250" w:hanging="0"/>
              <w:rPr>
                <w:kern w:val="0"/>
                <w:szCs w:val="22"/>
                <w:lang w:val="en-US"/>
              </w:rPr>
            </w:pPr>
            <w:r>
              <w:rPr>
                <w:kern w:val="0"/>
                <w:szCs w:val="22"/>
                <w:lang w:val="en-US"/>
              </w:rPr>
              <w:t>(A) Informações sobre ações a serem executadas, metas a serem atingidas, indicadores que aferirão o cumprimento das metas e prazos para a execução das ações e para o cumprimento das metas</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uppressAutoHyphens w:val="true"/>
              <w:spacing w:before="60" w:after="60"/>
              <w:ind w:left="0" w:hanging="0"/>
              <w:rPr>
                <w:kern w:val="0"/>
                <w:szCs w:val="22"/>
                <w:lang w:val="en-US"/>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185" w:leader="none"/>
              </w:tabs>
              <w:suppressAutoHyphens w:val="true"/>
              <w:spacing w:before="60" w:after="60"/>
              <w:ind w:left="0" w:hanging="0"/>
              <w:rPr>
                <w:kern w:val="0"/>
                <w:szCs w:val="22"/>
                <w:lang w:val="en-US"/>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6"/>
              </w:numPr>
              <w:tabs>
                <w:tab w:val="clear" w:pos="708"/>
                <w:tab w:val="left" w:pos="250" w:leader="none"/>
              </w:tabs>
              <w:suppressAutoHyphens w:val="true"/>
              <w:spacing w:before="60" w:after="60"/>
              <w:ind w:left="57" w:right="140" w:hanging="0"/>
              <w:rPr>
                <w:kern w:val="0"/>
                <w:szCs w:val="22"/>
                <w:lang w:val="en-US"/>
              </w:rPr>
            </w:pPr>
            <w:r>
              <w:rPr>
                <w:kern w:val="0"/>
                <w:szCs w:val="22"/>
                <w:lang w:val="en-US"/>
              </w:rPr>
              <w:t>O não atendimento ou o atendimento insatisfatório (0,0).</w:t>
            </w:r>
          </w:p>
          <w:p>
            <w:pPr>
              <w:pStyle w:val="TableParagraph"/>
              <w:widowControl w:val="false"/>
              <w:suppressAutoHyphens w:val="true"/>
              <w:spacing w:before="60" w:after="60"/>
              <w:ind w:left="57" w:right="140" w:hanging="0"/>
              <w:rPr>
                <w:kern w:val="0"/>
                <w:szCs w:val="22"/>
                <w:lang w:val="en-US"/>
              </w:rPr>
            </w:pPr>
            <w:r>
              <w:rPr>
                <w:kern w:val="0"/>
                <w:szCs w:val="22"/>
                <w:lang w:val="en-US"/>
              </w:rPr>
              <w:t>OBS.: A atribuição de nota “zero” neste critério implica eliminação 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kern w:val="0"/>
                <w:szCs w:val="22"/>
                <w:lang w:val="en-US"/>
              </w:rPr>
            </w:pPr>
            <w:r>
              <w:rPr>
                <w:kern w:val="0"/>
                <w:szCs w:val="22"/>
                <w:lang w:val="en-US"/>
              </w:rPr>
              <w:t>2,0</w:t>
            </w:r>
          </w:p>
        </w:tc>
      </w:tr>
      <w:tr>
        <w:trPr>
          <w:trHeight w:val="1737"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146" w:right="292" w:hanging="0"/>
              <w:rPr>
                <w:kern w:val="0"/>
                <w:szCs w:val="22"/>
                <w:lang w:val="en-US"/>
              </w:rPr>
            </w:pPr>
            <w:r>
              <w:rPr>
                <w:kern w:val="0"/>
                <w:szCs w:val="22"/>
                <w:lang w:val="en-US"/>
              </w:rPr>
              <w:t>(B) Adequação da proposta aos objetivos do objeto proposto pelo CAU/PR</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5"/>
              </w:numPr>
              <w:tabs>
                <w:tab w:val="clear" w:pos="708"/>
                <w:tab w:val="left" w:pos="185" w:leader="none"/>
              </w:tabs>
              <w:suppressAutoHyphens w:val="true"/>
              <w:spacing w:before="60" w:after="60"/>
              <w:ind w:left="0" w:hanging="0"/>
              <w:rPr>
                <w:kern w:val="0"/>
                <w:szCs w:val="22"/>
                <w:lang w:val="en-US"/>
              </w:rPr>
            </w:pPr>
            <w:r>
              <w:rPr>
                <w:kern w:val="0"/>
                <w:szCs w:val="22"/>
                <w:lang w:val="en-US"/>
              </w:rPr>
              <w:t>Grau pleno de adequação</w:t>
            </w:r>
            <w:r>
              <w:rPr>
                <w:spacing w:val="-5"/>
                <w:kern w:val="0"/>
                <w:szCs w:val="22"/>
                <w:lang w:val="en-US"/>
              </w:rPr>
              <w:t xml:space="preserve"> </w:t>
            </w:r>
            <w:r>
              <w:rPr>
                <w:kern w:val="0"/>
                <w:szCs w:val="22"/>
                <w:lang w:val="en-US"/>
              </w:rPr>
              <w:t>(2,0)</w:t>
            </w:r>
          </w:p>
          <w:p>
            <w:pPr>
              <w:pStyle w:val="TableParagraph"/>
              <w:widowControl w:val="false"/>
              <w:numPr>
                <w:ilvl w:val="0"/>
                <w:numId w:val="5"/>
              </w:numPr>
              <w:tabs>
                <w:tab w:val="clear" w:pos="708"/>
                <w:tab w:val="left" w:pos="185" w:leader="none"/>
              </w:tabs>
              <w:suppressAutoHyphens w:val="true"/>
              <w:spacing w:before="60" w:after="60"/>
              <w:ind w:left="0" w:hanging="0"/>
              <w:rPr>
                <w:kern w:val="0"/>
                <w:szCs w:val="22"/>
                <w:lang w:val="en-US"/>
              </w:rPr>
            </w:pPr>
            <w:r>
              <w:rPr>
                <w:kern w:val="0"/>
                <w:szCs w:val="22"/>
                <w:lang w:val="en-US"/>
              </w:rPr>
              <w:t>Grau satisfatório de adequação</w:t>
            </w:r>
            <w:r>
              <w:rPr>
                <w:spacing w:val="-3"/>
                <w:kern w:val="0"/>
                <w:szCs w:val="22"/>
                <w:lang w:val="en-US"/>
              </w:rPr>
              <w:t xml:space="preserve"> </w:t>
            </w:r>
            <w:r>
              <w:rPr>
                <w:kern w:val="0"/>
                <w:szCs w:val="22"/>
                <w:lang w:val="en-US"/>
              </w:rPr>
              <w:t>(1,0)</w:t>
            </w:r>
          </w:p>
          <w:p>
            <w:pPr>
              <w:pStyle w:val="TableParagraph"/>
              <w:widowControl w:val="false"/>
              <w:numPr>
                <w:ilvl w:val="0"/>
                <w:numId w:val="5"/>
              </w:numPr>
              <w:tabs>
                <w:tab w:val="clear" w:pos="708"/>
                <w:tab w:val="left" w:pos="207" w:leader="none"/>
              </w:tabs>
              <w:suppressAutoHyphens w:val="true"/>
              <w:spacing w:before="60" w:after="60"/>
              <w:ind w:left="57" w:right="140" w:hanging="0"/>
              <w:rPr>
                <w:kern w:val="0"/>
                <w:szCs w:val="22"/>
                <w:lang w:val="en-US"/>
              </w:rPr>
            </w:pPr>
            <w:r>
              <w:rPr>
                <w:kern w:val="0"/>
                <w:szCs w:val="22"/>
                <w:lang w:val="en-US"/>
              </w:rPr>
              <w:t>O não atendimento ou o atendimento insatisfatório do requisito de adequação</w:t>
            </w:r>
            <w:r>
              <w:rPr>
                <w:spacing w:val="-2"/>
                <w:kern w:val="0"/>
                <w:szCs w:val="22"/>
                <w:lang w:val="en-US"/>
              </w:rPr>
              <w:t xml:space="preserve"> </w:t>
            </w:r>
            <w:r>
              <w:rPr>
                <w:kern w:val="0"/>
                <w:szCs w:val="22"/>
                <w:lang w:val="en-US"/>
              </w:rPr>
              <w:t>(0,0).</w:t>
            </w:r>
          </w:p>
          <w:p>
            <w:pPr>
              <w:pStyle w:val="TableParagraph"/>
              <w:widowControl w:val="false"/>
              <w:suppressAutoHyphens w:val="true"/>
              <w:spacing w:before="60" w:after="60"/>
              <w:ind w:left="57" w:right="136" w:hanging="0"/>
              <w:rPr>
                <w:kern w:val="0"/>
                <w:szCs w:val="22"/>
                <w:lang w:val="en-US"/>
              </w:rPr>
            </w:pPr>
            <w:r>
              <w:rPr>
                <w:kern w:val="0"/>
                <w:szCs w:val="22"/>
                <w:lang w:val="en-US"/>
              </w:rPr>
              <w:t xml:space="preserve">OBS.: A atribuição de nota “zero” neste critério implica a eliminação da proposta, por força do </w:t>
            </w:r>
            <w:r>
              <w:rPr>
                <w:b/>
                <w:kern w:val="0"/>
                <w:szCs w:val="22"/>
                <w:lang w:val="en-US"/>
              </w:rPr>
              <w:t xml:space="preserve">caput </w:t>
            </w:r>
            <w:r>
              <w:rPr>
                <w:kern w:val="0"/>
                <w:szCs w:val="22"/>
                <w:lang w:val="en-US"/>
              </w:rPr>
              <w:t>do art. 27 da Lei nº 13.019, de 2014, c/c art. 9º,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kern w:val="0"/>
                <w:szCs w:val="22"/>
                <w:lang w:val="en-US"/>
              </w:rPr>
            </w:pPr>
            <w:r>
              <w:rPr>
                <w:kern w:val="0"/>
                <w:szCs w:val="22"/>
                <w:lang w:val="en-US"/>
              </w:rPr>
              <w:t>2,0</w:t>
            </w:r>
          </w:p>
        </w:tc>
      </w:tr>
      <w:tr>
        <w:trPr>
          <w:trHeight w:val="124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146" w:right="18" w:hanging="0"/>
              <w:rPr>
                <w:kern w:val="0"/>
                <w:szCs w:val="22"/>
                <w:lang w:val="en-US"/>
              </w:rPr>
            </w:pPr>
            <w:r>
              <w:rPr>
                <w:kern w:val="0"/>
                <w:szCs w:val="22"/>
                <w:lang w:val="en-US"/>
              </w:rPr>
              <w:t>(C) Descrição da realidade objeto da parceria e do nexo entre essa realidade e o projeto proposto</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4"/>
              </w:numPr>
              <w:tabs>
                <w:tab w:val="clear" w:pos="708"/>
                <w:tab w:val="left" w:pos="185" w:leader="none"/>
              </w:tabs>
              <w:suppressAutoHyphens w:val="true"/>
              <w:spacing w:before="60" w:after="60"/>
              <w:ind w:left="0" w:hanging="0"/>
              <w:rPr>
                <w:kern w:val="0"/>
                <w:szCs w:val="22"/>
                <w:lang w:val="en-US"/>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4"/>
              </w:numPr>
              <w:tabs>
                <w:tab w:val="clear" w:pos="708"/>
                <w:tab w:val="left" w:pos="185" w:leader="none"/>
              </w:tabs>
              <w:suppressAutoHyphens w:val="true"/>
              <w:spacing w:before="60" w:after="60"/>
              <w:ind w:left="0" w:hanging="0"/>
              <w:rPr>
                <w:kern w:val="0"/>
                <w:szCs w:val="22"/>
                <w:lang w:val="en-US"/>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4"/>
              </w:numPr>
              <w:tabs>
                <w:tab w:val="clear" w:pos="708"/>
                <w:tab w:val="left" w:pos="250" w:leader="none"/>
              </w:tabs>
              <w:suppressAutoHyphens w:val="true"/>
              <w:spacing w:before="60" w:after="60"/>
              <w:ind w:left="57" w:right="140" w:hanging="0"/>
              <w:rPr>
                <w:kern w:val="0"/>
                <w:szCs w:val="22"/>
                <w:lang w:val="en-US"/>
              </w:rPr>
            </w:pPr>
            <w:r>
              <w:rPr>
                <w:kern w:val="0"/>
                <w:szCs w:val="22"/>
                <w:lang w:val="en-US"/>
              </w:rPr>
              <w:t>O não atendimento ou o atendimento insatisfatório (0,0).</w:t>
            </w:r>
          </w:p>
          <w:p>
            <w:pPr>
              <w:pStyle w:val="TableParagraph"/>
              <w:widowControl w:val="false"/>
              <w:suppressAutoHyphens w:val="true"/>
              <w:spacing w:before="60" w:after="60"/>
              <w:ind w:left="57" w:right="139" w:hanging="0"/>
              <w:rPr>
                <w:kern w:val="0"/>
                <w:szCs w:val="22"/>
                <w:lang w:val="en-US"/>
              </w:rPr>
            </w:pPr>
            <w:r>
              <w:rPr>
                <w:kern w:val="0"/>
                <w:szCs w:val="22"/>
                <w:lang w:val="en-US"/>
              </w:rPr>
              <w:t>OBS.: A atribuição de nota “zero” neste critério implica eliminação da proposta, por 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kern w:val="0"/>
                <w:szCs w:val="22"/>
                <w:lang w:val="en-US"/>
              </w:rPr>
            </w:pPr>
            <w:r>
              <w:rPr>
                <w:kern w:val="0"/>
                <w:szCs w:val="22"/>
                <w:lang w:val="en-US"/>
              </w:rPr>
              <w:t>2,0</w:t>
            </w:r>
          </w:p>
        </w:tc>
      </w:tr>
      <w:tr>
        <w:trPr>
          <w:trHeight w:val="74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146" w:right="318" w:hanging="0"/>
              <w:rPr>
                <w:kern w:val="0"/>
                <w:szCs w:val="22"/>
                <w:lang w:val="en-US"/>
              </w:rPr>
            </w:pPr>
            <w:r>
              <w:rPr>
                <w:kern w:val="0"/>
                <w:szCs w:val="22"/>
                <w:lang w:val="en-US"/>
              </w:rPr>
              <w:t>(D) Clareza e coerência na apresentação do projeto</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uppressAutoHyphens w:val="true"/>
              <w:spacing w:before="60" w:after="60"/>
              <w:ind w:left="0" w:hanging="0"/>
              <w:rPr>
                <w:kern w:val="0"/>
                <w:szCs w:val="22"/>
                <w:lang w:val="en-US"/>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8"/>
              </w:numPr>
              <w:tabs>
                <w:tab w:val="clear" w:pos="708"/>
                <w:tab w:val="left" w:pos="185" w:leader="none"/>
              </w:tabs>
              <w:suppressAutoHyphens w:val="true"/>
              <w:spacing w:before="60" w:after="60"/>
              <w:ind w:left="0" w:hanging="0"/>
              <w:rPr>
                <w:kern w:val="0"/>
                <w:szCs w:val="22"/>
                <w:lang w:val="en-US"/>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8"/>
              </w:numPr>
              <w:tabs>
                <w:tab w:val="clear" w:pos="708"/>
                <w:tab w:val="left" w:pos="250" w:leader="none"/>
              </w:tabs>
              <w:suppressAutoHyphens w:val="true"/>
              <w:spacing w:before="60" w:after="60"/>
              <w:ind w:left="57" w:right="140" w:hanging="0"/>
              <w:rPr>
                <w:kern w:val="0"/>
                <w:szCs w:val="22"/>
                <w:lang w:val="en-US"/>
              </w:rPr>
            </w:pPr>
            <w:r>
              <w:rPr>
                <w:kern w:val="0"/>
                <w:szCs w:val="22"/>
                <w:lang w:val="en-US"/>
              </w:rPr>
              <w:t>O não atendimento ou o atendimento 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kern w:val="0"/>
                <w:szCs w:val="22"/>
                <w:lang w:val="en-US"/>
              </w:rPr>
            </w:pPr>
            <w:r>
              <w:rPr>
                <w:kern w:val="0"/>
                <w:szCs w:val="22"/>
                <w:lang w:val="en-US"/>
              </w:rPr>
              <w:t>2,0</w:t>
            </w:r>
          </w:p>
        </w:tc>
      </w:tr>
      <w:tr>
        <w:trPr>
          <w:trHeight w:val="37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165" w:hanging="0"/>
              <w:rPr>
                <w:kern w:val="0"/>
                <w:szCs w:val="22"/>
                <w:lang w:val="en-US"/>
              </w:rPr>
            </w:pPr>
            <w:r>
              <w:rPr>
                <w:kern w:val="0"/>
                <w:szCs w:val="22"/>
                <w:lang w:val="en-US"/>
              </w:rPr>
              <w:t>(E) Relevância do projeto para o desenvolvimento da Arquitetura e Urbanismo</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57" w:hanging="0"/>
              <w:rPr>
                <w:kern w:val="0"/>
                <w:szCs w:val="22"/>
                <w:lang w:val="en-US"/>
              </w:rPr>
            </w:pPr>
            <w:r>
              <w:rPr>
                <w:kern w:val="0"/>
                <w:szCs w:val="22"/>
                <w:lang w:val="en-US"/>
              </w:rPr>
              <w:t>- Grau pleno da descrição (2,0)</w:t>
            </w:r>
          </w:p>
          <w:p>
            <w:pPr>
              <w:pStyle w:val="TableParagraph"/>
              <w:widowControl w:val="false"/>
              <w:numPr>
                <w:ilvl w:val="0"/>
                <w:numId w:val="7"/>
              </w:numPr>
              <w:tabs>
                <w:tab w:val="clear" w:pos="708"/>
                <w:tab w:val="left" w:pos="185" w:leader="none"/>
              </w:tabs>
              <w:suppressAutoHyphens w:val="true"/>
              <w:spacing w:before="60" w:after="60"/>
              <w:ind w:left="0" w:hanging="0"/>
              <w:rPr>
                <w:kern w:val="0"/>
                <w:szCs w:val="22"/>
                <w:lang w:val="en-US"/>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7"/>
              </w:numPr>
              <w:suppressAutoHyphens w:val="true"/>
              <w:spacing w:before="60" w:after="60"/>
              <w:ind w:left="0" w:hanging="0"/>
              <w:rPr>
                <w:kern w:val="0"/>
                <w:szCs w:val="22"/>
                <w:lang w:val="en-US"/>
              </w:rPr>
            </w:pPr>
            <w:r>
              <w:rPr>
                <w:kern w:val="0"/>
                <w:szCs w:val="22"/>
                <w:lang w:val="en-US"/>
              </w:rPr>
              <w:t>O não atendimento ou o atendimento</w:t>
            </w:r>
            <w:r>
              <w:rPr>
                <w:spacing w:val="45"/>
                <w:kern w:val="0"/>
                <w:szCs w:val="22"/>
                <w:lang w:val="en-US"/>
              </w:rPr>
              <w:t xml:space="preserve"> </w:t>
            </w:r>
            <w:r>
              <w:rPr>
                <w:kern w:val="0"/>
                <w:szCs w:val="22"/>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kern w:val="0"/>
                <w:szCs w:val="22"/>
                <w:lang w:val="en-US"/>
              </w:rPr>
            </w:pPr>
            <w:r>
              <w:rPr>
                <w:kern w:val="0"/>
                <w:szCs w:val="22"/>
                <w:lang w:val="en-US"/>
              </w:rPr>
              <w:t>2,0</w:t>
            </w:r>
          </w:p>
        </w:tc>
      </w:tr>
      <w:tr>
        <w:trPr>
          <w:trHeight w:val="57" w:hRule="atLeast"/>
        </w:trPr>
        <w:tc>
          <w:tcPr>
            <w:tcW w:w="7938"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ind w:left="57" w:hanging="0"/>
              <w:rPr>
                <w:b/>
                <w:b/>
              </w:rPr>
            </w:pPr>
            <w:r>
              <w:rPr>
                <w:b/>
                <w:kern w:val="0"/>
                <w:szCs w:val="22"/>
                <w:lang w:val="en-US"/>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0" w:after="60"/>
              <w:jc w:val="center"/>
              <w:rPr>
                <w:b/>
                <w:b/>
              </w:rPr>
            </w:pPr>
            <w:r>
              <w:rPr>
                <w:b/>
                <w:kern w:val="0"/>
                <w:szCs w:val="22"/>
                <w:lang w:val="en-US"/>
              </w:rPr>
              <w:t>10,0</w:t>
            </w:r>
          </w:p>
        </w:tc>
      </w:tr>
    </w:tbl>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9"/>
        </w:numPr>
        <w:tabs>
          <w:tab w:val="clear" w:pos="708"/>
          <w:tab w:val="left" w:pos="732" w:leader="none"/>
        </w:tabs>
        <w:suppressAutoHyphens w:val="false"/>
        <w:spacing w:lineRule="auto" w:line="264"/>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pPr>
        <w:pStyle w:val="ListParagraph"/>
        <w:numPr>
          <w:ilvl w:val="0"/>
          <w:numId w:val="9"/>
        </w:numPr>
        <w:tabs>
          <w:tab w:val="clear" w:pos="708"/>
          <w:tab w:val="left" w:pos="758" w:leader="none"/>
        </w:tabs>
        <w:suppressAutoHyphens w:val="false"/>
        <w:spacing w:lineRule="auto" w:line="264"/>
        <w:ind w:left="1134" w:hanging="567"/>
        <w:jc w:val="both"/>
        <w:rPr>
          <w:rFonts w:ascii="Times New Roman" w:hAnsi="Times New Roman"/>
          <w:sz w:val="22"/>
          <w:szCs w:val="22"/>
        </w:rPr>
      </w:pPr>
      <w:r>
        <w:rPr>
          <w:rFonts w:ascii="Times New Roman" w:hAnsi="Times New Roman"/>
          <w:sz w:val="22"/>
          <w:szCs w:val="22"/>
        </w:rPr>
        <w:t>que recebam nota “zero” nos critérios de julgamento (A), (B) ou (C);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3"/>
        </w:numPr>
        <w:suppressAutoHyphens w:val="false"/>
        <w:spacing w:lineRule="auto" w:line="264" w:before="120" w:after="0"/>
        <w:ind w:left="567" w:hanging="567"/>
        <w:jc w:val="both"/>
        <w:rPr>
          <w:rFonts w:ascii="Times New Roman" w:hAnsi="Times New Roman"/>
          <w:b/>
          <w:b/>
          <w:sz w:val="22"/>
          <w:szCs w:val="22"/>
          <w:u w:val="single"/>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lineRule="auto" w:line="264" w:before="120" w:after="0"/>
        <w:ind w:left="567"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mc:AlternateContent>
          <mc:Choice Requires="wps">
            <w:drawing>
              <wp:anchor behindDoc="0" distT="15875" distB="0" distL="3175" distR="112395" simplePos="0" locked="0" layoutInCell="0" allowOverlap="1" relativeHeight="25" wp14:anchorId="69DB36FA">
                <wp:simplePos x="0" y="0"/>
                <wp:positionH relativeFrom="margin">
                  <wp:align>left</wp:align>
                </wp:positionH>
                <wp:positionV relativeFrom="paragraph">
                  <wp:posOffset>610870</wp:posOffset>
                </wp:positionV>
                <wp:extent cx="5749290" cy="1709420"/>
                <wp:effectExtent l="0" t="0" r="17145" b="18415"/>
                <wp:wrapTopAndBottom/>
                <wp:docPr id="3" name="Caixa de texto 2"/>
                <a:graphic xmlns:a="http://schemas.openxmlformats.org/drawingml/2006/main">
                  <a:graphicData uri="http://schemas.microsoft.com/office/word/2010/wordprocessingShape">
                    <wps:wsp>
                      <wps:cNvSpPr/>
                      <wps:spPr>
                        <a:xfrm>
                          <a:off x="0" y="0"/>
                          <a:ext cx="5748480" cy="1708920"/>
                        </a:xfrm>
                        <a:prstGeom prst="rect">
                          <a:avLst/>
                        </a:prstGeom>
                        <a:noFill/>
                        <a:ln w="6480">
                          <a:solidFill>
                            <a:srgbClr val="000000"/>
                          </a:solidFill>
                          <a:miter/>
                        </a:ln>
                      </wps:spPr>
                      <wps:style>
                        <a:lnRef idx="0"/>
                        <a:fillRef idx="0"/>
                        <a:effectRef idx="0"/>
                        <a:fontRef idx="minor"/>
                      </wps:style>
                      <wps:txb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RECURSO CONTRA A SELEÇÃO DE PROPOSTAS</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0pt;margin-top:48.1pt;width:452.6pt;height:134.5pt;mso-wrap-style:square;v-text-anchor:top;mso-position-horizontal:left;mso-position-horizontal-relative:margin" wp14:anchorId="69DB36FA">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RECURSO CONTRA A SELEÇÃO DE PROPOSTAS</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Comissão de Seleção poderá reconsiderar o recurso ou encaminha-lo à autoridade superior para decisão final.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ou no Diário Oficial da União, nos termos da lei.</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Entende-se que a convocação das entidades se dará, automaticamente, após julgamento dos recursos, com a publicação do aviso do Resultado Definitivo do Processo de Seleção no Diário Oficial da União – DOU,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3"/>
        </w:numPr>
        <w:suppressAutoHyphens w:val="false"/>
        <w:spacing w:before="6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1"/>
          <w:numId w:val="3"/>
        </w:numPr>
        <w:suppressAutoHyphens w:val="false"/>
        <w:spacing w:lineRule="auto" w:line="264" w:before="120" w:after="0"/>
        <w:ind w:left="567" w:hanging="567"/>
        <w:jc w:val="both"/>
        <w:rPr>
          <w:rFonts w:ascii="Times New Roman" w:hAnsi="Times New Roman"/>
          <w:b/>
          <w:b/>
          <w:sz w:val="22"/>
          <w:szCs w:val="22"/>
        </w:rPr>
      </w:pPr>
      <w:r>
        <w:rPr>
          <w:rFonts w:ascii="Times New Roman" w:hAnsi="Times New Roman"/>
          <w:b/>
          <w:sz w:val="22"/>
          <w:szCs w:val="22"/>
        </w:rPr>
        <w:t xml:space="preserve">A previsão de receitas e despesas de que trata o item 11.3.5 deverá ser acompanhada de </w:t>
      </w:r>
      <w:r>
        <w:rPr>
          <w:rFonts w:ascii="Times New Roman" w:hAnsi="Times New Roman"/>
          <w:b/>
          <w:sz w:val="22"/>
          <w:szCs w:val="22"/>
          <w:u w:val="single"/>
        </w:rPr>
        <w:t>pesquisa de mercado</w:t>
      </w:r>
      <w:r>
        <w:rPr>
          <w:rFonts w:ascii="Times New Roman" w:hAnsi="Times New Roman"/>
          <w:b/>
          <w:sz w:val="22"/>
          <w:szCs w:val="22"/>
        </w:rPr>
        <w:t xml:space="preserve"> que comprove a prática dos preços mensurados, através de cotações, tabelas de preços de associações profissionais, publicações especializadas ou quaisquer outras fontes de informação disponíveis ao público.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 do mesmo.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lineRule="auto" w:line="264" w:before="120" w:after="0"/>
        <w:ind w:left="680" w:hanging="68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3"/>
        </w:numPr>
        <w:spacing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Certidão de Débitos Relativos a Créditos Tributários Federais e à Dívida Ativa da União;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a parceria a ser firmada (Modelo - Anexo IX).</w:t>
      </w:r>
    </w:p>
    <w:p>
      <w:pPr>
        <w:pStyle w:val="ListParagraph"/>
        <w:numPr>
          <w:ilvl w:val="4"/>
          <w:numId w:val="3"/>
        </w:numPr>
        <w:suppressAutoHyphens w:val="false"/>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as certidões positivas com efeito de negativas.</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w:t>
      </w:r>
      <w:r>
        <w:rPr>
          <w:rFonts w:ascii="Times New Roman" w:hAnsi="Times New Roman"/>
          <w:sz w:val="22"/>
          <w:szCs w:val="22"/>
        </w:rPr>
        <w:t>á</w:t>
      </w:r>
      <w:r>
        <w:rPr>
          <w:rFonts w:ascii="Times New Roman" w:hAnsi="Times New Roman"/>
          <w:sz w:val="22"/>
          <w:szCs w:val="22"/>
        </w:rPr>
        <w:t>-las, no prazo de 15 (quinze) dias, sob pena de não celebração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3"/>
        </w:numPr>
        <w:suppressAutoHyphens w:val="false"/>
        <w:spacing w:lineRule="auto" w:line="264" w:before="60" w:after="0"/>
        <w:ind w:left="1360" w:hanging="680"/>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3"/>
        </w:numPr>
        <w:suppressAutoHyphens w:val="false"/>
        <w:spacing w:lineRule="auto" w:line="264" w:before="60" w:after="0"/>
        <w:ind w:left="1360" w:hanging="680"/>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3"/>
        </w:numPr>
        <w:suppressAutoHyphens w:val="false"/>
        <w:spacing w:lineRule="auto" w:line="264" w:before="60" w:after="0"/>
        <w:ind w:left="1360" w:hanging="680"/>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3"/>
        </w:numPr>
        <w:suppressAutoHyphens w:val="false"/>
        <w:spacing w:lineRule="auto" w:line="264" w:before="60" w:after="0"/>
        <w:ind w:left="1360" w:hanging="680"/>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3"/>
        </w:numPr>
        <w:suppressAutoHyphens w:val="false"/>
        <w:spacing w:lineRule="auto" w:line="264" w:before="60" w:after="0"/>
        <w:ind w:left="1360" w:hanging="680"/>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uppressAutoHyphens w:val="false"/>
        <w:spacing w:before="121" w:after="116"/>
        <w:ind w:left="0" w:right="106" w:hanging="0"/>
        <w:rPr>
          <w:rFonts w:ascii="Times New Roman" w:hAnsi="Times New Roman" w:cs="Times New Roman"/>
          <w:color w:val="auto"/>
          <w:sz w:val="22"/>
        </w:rPr>
      </w:pPr>
      <w:r>
        <w:rPr>
          <w:rFonts w:cs="Times New Roman" w:ascii="Times New Roman" w:hAnsi="Times New Roman"/>
          <w:color w:val="auto"/>
          <w:sz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spacing w:before="121" w:after="0"/>
        <w:ind w:left="567" w:right="106" w:hanging="0"/>
        <w:jc w:val="both"/>
        <w:rPr>
          <w:rFonts w:ascii="Times New Roman" w:hAnsi="Times New Roman"/>
          <w:b/>
          <w:b/>
          <w:sz w:val="22"/>
        </w:rPr>
      </w:pPr>
      <w:r>
        <w:rPr>
          <w:rFonts w:ascii="Times New Roman" w:hAnsi="Times New Roman"/>
          <w:b/>
          <w:sz w:val="22"/>
        </w:rPr>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mc:AlternateContent>
          <mc:Choice Requires="wps">
            <w:drawing>
              <wp:anchor behindDoc="0" distT="15875" distB="0" distL="129540" distR="112395" simplePos="0" locked="0" layoutInCell="0" allowOverlap="1" relativeHeight="26" wp14:anchorId="34A43FE9">
                <wp:simplePos x="0" y="0"/>
                <wp:positionH relativeFrom="column">
                  <wp:posOffset>13970</wp:posOffset>
                </wp:positionH>
                <wp:positionV relativeFrom="paragraph">
                  <wp:posOffset>610235</wp:posOffset>
                </wp:positionV>
                <wp:extent cx="5643880" cy="1900555"/>
                <wp:effectExtent l="0" t="0" r="8255" b="17780"/>
                <wp:wrapTopAndBottom/>
                <wp:docPr id="5" name="Caixa de texto 3"/>
                <a:graphic xmlns:a="http://schemas.openxmlformats.org/drawingml/2006/main">
                  <a:graphicData uri="http://schemas.microsoft.com/office/word/2010/wordprocessingShape">
                    <wps:wsp>
                      <wps:cNvSpPr/>
                      <wps:spPr>
                        <a:xfrm>
                          <a:off x="0" y="0"/>
                          <a:ext cx="5643360" cy="1900080"/>
                        </a:xfrm>
                        <a:prstGeom prst="rect">
                          <a:avLst/>
                        </a:prstGeom>
                        <a:noFill/>
                        <a:ln w="6480">
                          <a:solidFill>
                            <a:srgbClr val="000000"/>
                          </a:solidFill>
                          <a:miter/>
                        </a:ln>
                      </wps:spPr>
                      <wps:style>
                        <a:lnRef idx="0"/>
                        <a:fillRef idx="0"/>
                        <a:effectRef idx="0"/>
                        <a:fontRef idx="minor"/>
                      </wps:style>
                      <wps:txb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PLANO DE TRABALHO E DOCUMENTOS DE HABILITAÇÃO FINAL</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wps:txbx>
                      <wps:bodyPr lIns="0" rIns="0" tIns="0" bIns="0" upright="1">
                        <a:noAutofit/>
                      </wps:bodyPr>
                    </wps:wsp>
                  </a:graphicData>
                </a:graphic>
              </wp:anchor>
            </w:drawing>
          </mc:Choice>
          <mc:Fallback>
            <w:pict>
              <v:rect id="shape_0" ID="Caixa de texto 3" path="m0,0l-2147483645,0l-2147483645,-2147483646l0,-2147483646xe" stroked="t" style="position:absolute;margin-left:1.1pt;margin-top:48.05pt;width:444.3pt;height:149.55pt;mso-wrap-style:square;v-text-anchor:top" wp14:anchorId="34A43FE9">
                <v:fill o:detectmouseclick="t" on="false"/>
                <v:stroke color="black" weight="6480" joinstyle="miter" endcap="flat"/>
                <v:textbox>
                  <w:txbxContent>
                    <w:p>
                      <w:pPr>
                        <w:pStyle w:val="Contedodoquadro"/>
                        <w:spacing w:lineRule="auto" w:line="240" w:before="240" w:after="0"/>
                        <w:ind w:left="200" w:hanging="10"/>
                        <w:contextualSpacing/>
                        <w:jc w:val="left"/>
                        <w:rPr>
                          <w:rFonts w:ascii="Times New Roman" w:hAnsi="Times New Roman" w:cs="Times New Roman"/>
                          <w:b/>
                          <w:b/>
                          <w:sz w:val="22"/>
                        </w:rPr>
                      </w:pPr>
                      <w:r>
                        <w:rPr>
                          <w:rFonts w:cs="Times New Roman" w:ascii="Times New Roman" w:hAnsi="Times New Roman"/>
                          <w:b/>
                          <w:sz w:val="22"/>
                        </w:rPr>
                        <w:t xml:space="preserve">CONSELHO DE ARQUITETURA E URBANISMO DE PARANÁ </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t>EDITAL DE CHAMAMENTO PÚBLICO N° 001/2021</w:t>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b/>
                          <w:sz w:val="22"/>
                        </w:rPr>
                      </w:r>
                    </w:p>
                    <w:p>
                      <w:pPr>
                        <w:pStyle w:val="Contedodoquadro"/>
                        <w:spacing w:lineRule="auto" w:line="240" w:before="0" w:after="0"/>
                        <w:ind w:left="200" w:hanging="10"/>
                        <w:contextualSpacing/>
                        <w:jc w:val="left"/>
                        <w:rPr>
                          <w:rFonts w:ascii="Times New Roman" w:hAnsi="Times New Roman" w:cs="Times New Roman"/>
                          <w:b/>
                          <w:b/>
                          <w:sz w:val="22"/>
                        </w:rPr>
                      </w:pPr>
                      <w:r>
                        <w:rPr>
                          <w:rFonts w:cs="Times New Roman" w:ascii="Times New Roman" w:hAnsi="Times New Roman"/>
                          <w:sz w:val="22"/>
                          <w:u w:val="single"/>
                        </w:rPr>
                        <w:t>PLANO DE TRABALHO E DOCUMENTOS DE HABILITAÇÃO FINAL</w:t>
                      </w:r>
                    </w:p>
                    <w:p>
                      <w:pPr>
                        <w:pStyle w:val="Corpodotexto"/>
                        <w:spacing w:before="0" w:after="0"/>
                        <w:ind w:left="200" w:hanging="0"/>
                        <w:contextualSpacing/>
                        <w:rPr>
                          <w:rFonts w:ascii="Times New Roman" w:hAnsi="Times New Roman" w:cs="Times New Roman"/>
                          <w:sz w:val="20"/>
                        </w:rPr>
                      </w:pPr>
                      <w:r>
                        <w:rPr>
                          <w:rFonts w:cs="Times New Roman" w:ascii="Times New Roman" w:hAnsi="Times New Roman"/>
                          <w:sz w:val="20"/>
                        </w:rPr>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Av. Nossa Senhora da Luz, 2530, Alto da XV</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CEP 80045-360</w:t>
                      </w:r>
                    </w:p>
                    <w:p>
                      <w:pPr>
                        <w:pStyle w:val="Corpodotexto"/>
                        <w:spacing w:before="0" w:after="0"/>
                        <w:ind w:left="200" w:hanging="0"/>
                        <w:contextualSpacing/>
                        <w:rPr>
                          <w:rFonts w:ascii="Times New Roman" w:hAnsi="Times New Roman" w:cs="Times New Roman"/>
                        </w:rPr>
                      </w:pPr>
                      <w:r>
                        <w:rPr>
                          <w:rFonts w:cs="Times New Roman" w:ascii="Times New Roman" w:hAnsi="Times New Roman"/>
                        </w:rPr>
                        <w:t>Curitiba, PR</w:t>
                      </w:r>
                    </w:p>
                  </w:txbxContent>
                </v:textbox>
                <w10:wrap type="topAndBottom"/>
              </v:rect>
            </w:pict>
          </mc:Fallback>
        </mc:AlternateContent>
      </w: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EQUIPE TÉCNICA E DA ANÁLISE DO PLANO DE TRABALHO E DOS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color w:val="000000"/>
          <w:sz w:val="22"/>
          <w:szCs w:val="22"/>
        </w:rPr>
        <w:t>A análise dos Planos de Trabalho e dos Documentos de Habilitação Final será realizada por Equipe Técnica designada para essa finalidade, por meio de Portaria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da designação da comissão de monitoramento e avaliação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Normal"/>
        <w:suppressAutoHyphens w:val="false"/>
        <w:spacing w:before="121" w:after="116"/>
        <w:ind w:left="0" w:right="106" w:hanging="10"/>
        <w:rPr>
          <w:rFonts w:ascii="Times New Roman" w:hAnsi="Times New Roman" w:cs="Times New Roman"/>
          <w:b/>
          <w:b/>
          <w:sz w:val="22"/>
        </w:rPr>
      </w:pPr>
      <w:r>
        <w:rPr>
          <w:rFonts w:cs="Times New Roman" w:ascii="Times New Roman" w:hAnsi="Times New Roman"/>
          <w:b/>
          <w:sz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ListParagraph"/>
        <w:suppressAutoHyphens w:val="false"/>
        <w:spacing w:before="121" w:after="0"/>
        <w:ind w:left="35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por meio da formalização do respectivo Termo de Fomento, serão notificadas para assinatura do referido instrumento.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ListParagraph"/>
        <w:suppressAutoHyphens w:val="false"/>
        <w:spacing w:lineRule="auto" w:line="264" w:before="121" w:after="0"/>
        <w:ind w:left="0"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3"/>
        </w:numPr>
        <w:suppressAutoHyphens w:val="false"/>
        <w:spacing w:before="60" w:after="0"/>
        <w:ind w:left="1701"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116"/>
        <w:ind w:left="-10" w:right="106" w:hanging="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encaminhar para o endereço eletrônico </w:t>
      </w:r>
      <w:r>
        <w:rPr>
          <w:rStyle w:val="LinkdaInternet"/>
          <w:rFonts w:eastAsia="MS Mincho" w:cs="Times New Roman" w:ascii="Times New Roman" w:hAnsi="Times New Roman"/>
          <w:color w:val="auto"/>
          <w:sz w:val="22"/>
          <w:szCs w:val="22"/>
          <w:u w:val="none"/>
          <w:lang w:eastAsia="ar-SA"/>
        </w:rPr>
        <w:t>comunicacao</w:t>
      </w:r>
      <w:r>
        <w:rPr>
          <w:rStyle w:val="LinkdaInternet"/>
          <w:rFonts w:ascii="Times New Roman" w:hAnsi="Times New Roman"/>
          <w:color w:val="auto"/>
          <w:sz w:val="22"/>
          <w:szCs w:val="22"/>
          <w:u w:val="none"/>
        </w:rPr>
        <w:t xml:space="preserve">@caupr.gov.br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lineRule="auto" w:line="264" w:before="120" w:after="0"/>
        <w:ind w:left="0" w:right="106" w:hanging="10"/>
        <w:rPr>
          <w:rFonts w:ascii="Times New Roman" w:hAnsi="Times New Roman" w:cs="Times New Roman"/>
          <w:b/>
          <w:b/>
          <w:color w:val="FF0000"/>
          <w:sz w:val="22"/>
        </w:rPr>
      </w:pPr>
      <w:r>
        <w:rPr>
          <w:rFonts w:cs="Times New Roman" w:ascii="Times New Roman" w:hAnsi="Times New Roman"/>
          <w:b/>
          <w:color w:val="FF0000"/>
          <w:sz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verificação do fato que poderá acarretar a aplicação das sanções prevista no item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116"/>
        <w:ind w:left="10" w:right="106" w:hanging="10"/>
        <w:rPr>
          <w:rFonts w:ascii="Times New Roman" w:hAnsi="Times New Roman" w:cs="Times New Roman"/>
          <w:b/>
          <w:b/>
          <w:color w:val="auto"/>
          <w:sz w:val="22"/>
        </w:rPr>
      </w:pPr>
      <w:r>
        <w:rPr>
          <w:rFonts w:cs="Times New Roman" w:ascii="Times New Roman" w:hAnsi="Times New Roman"/>
          <w:b/>
          <w:color w:val="auto"/>
          <w:sz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3"/>
        </w:numPr>
        <w:suppressAutoHyphens w:val="false"/>
        <w:spacing w:before="120" w:after="0"/>
        <w:ind w:left="1247" w:hanging="680"/>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3"/>
        </w:numPr>
        <w:suppressAutoHyphens w:val="false"/>
        <w:spacing w:before="120" w:after="0"/>
        <w:ind w:left="1247" w:hanging="680"/>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116"/>
        <w:ind w:left="10" w:right="106" w:hanging="1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3"/>
        </w:numPr>
        <w:suppressAutoHyphens w:val="false"/>
        <w:spacing w:lineRule="auto" w:line="264" w:before="120" w:after="0"/>
        <w:ind w:left="680" w:hanging="680"/>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3"/>
        </w:numPr>
        <w:suppressAutoHyphens w:val="false"/>
        <w:spacing w:lineRule="auto" w:line="264" w:before="120" w:after="0"/>
        <w:ind w:left="680" w:hanging="680"/>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3"/>
        </w:numPr>
        <w:suppressAutoHyphens w:val="false"/>
        <w:spacing w:before="120" w:after="0"/>
        <w:ind w:left="1360" w:hanging="680"/>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116"/>
        <w:ind w:left="0" w:right="106" w:hanging="0"/>
        <w:rPr>
          <w:rFonts w:ascii="Times New Roman" w:hAnsi="Times New Roman" w:cs="Times New Roman"/>
          <w:sz w:val="22"/>
        </w:rPr>
      </w:pPr>
      <w:r>
        <w:rPr>
          <w:rFonts w:cs="Times New Roman" w:ascii="Times New Roman" w:hAnsi="Times New Roman"/>
          <w:sz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3"/>
        </w:numPr>
        <w:suppressAutoHyphens w:val="false"/>
        <w:spacing w:before="60" w:after="0"/>
        <w:ind w:left="1360" w:hanging="680"/>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Normal"/>
        <w:spacing w:before="121" w:after="116"/>
        <w:ind w:left="-10" w:right="106" w:hanging="0"/>
        <w:rPr>
          <w:rFonts w:ascii="Times New Roman" w:hAnsi="Times New Roman" w:cs="Times New Roman"/>
          <w:b/>
          <w:b/>
          <w:sz w:val="22"/>
        </w:rPr>
      </w:pPr>
      <w:r>
        <w:rPr>
          <w:rFonts w:cs="Times New Roman" w:ascii="Times New Roman" w:hAnsi="Times New Roman"/>
          <w:b/>
          <w:sz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w:t>
      </w:r>
    </w:p>
    <w:p>
      <w:pPr>
        <w:pStyle w:val="ListParagraph"/>
        <w:numPr>
          <w:ilvl w:val="2"/>
          <w:numId w:val="3"/>
        </w:numPr>
        <w:suppressAutoHyphens w:val="false"/>
        <w:spacing w:before="60" w:after="0"/>
        <w:ind w:left="1247" w:hanging="680"/>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116"/>
        <w:ind w:left="-10" w:right="106" w:hanging="0"/>
        <w:rPr>
          <w:rFonts w:ascii="Times New Roman" w:hAnsi="Times New Roman" w:cs="Times New Roman"/>
          <w:b/>
          <w:b/>
          <w:sz w:val="22"/>
        </w:rPr>
      </w:pPr>
      <w:r>
        <w:rPr>
          <w:rFonts w:cs="Times New Roman" w:ascii="Times New Roman" w:hAnsi="Times New Roman"/>
          <w:b/>
          <w:sz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3"/>
        </w:numPr>
        <w:suppressAutoHyphens w:val="false"/>
        <w:spacing w:before="120" w:after="0"/>
        <w:ind w:left="567" w:hanging="567"/>
        <w:jc w:val="both"/>
        <w:rPr>
          <w:color w:val="000000"/>
        </w:rPr>
      </w:pPr>
      <w:r>
        <w:rPr>
          <w:rFonts w:ascii="Times New Roman" w:hAnsi="Times New Roman"/>
          <w:color w:val="000000"/>
          <w:sz w:val="22"/>
          <w:szCs w:val="22"/>
        </w:rPr>
        <w:t xml:space="preserve">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r>
        <w:rPr>
          <w:rStyle w:val="LinkdaInternet"/>
          <w:rFonts w:ascii="Times New Roman" w:hAnsi="Times New Roman"/>
          <w:color w:val="auto"/>
          <w:sz w:val="22"/>
          <w:szCs w:val="22"/>
          <w:u w:val="none"/>
        </w:rPr>
        <w:t>http://www.caupr.gov.br</w:t>
      </w:r>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r>
        <w:rPr>
          <w:rFonts w:ascii="Times New Roman" w:hAnsi="Times New Roman"/>
          <w:sz w:val="22"/>
          <w:szCs w:val="22"/>
        </w:rPr>
        <w:t>comunicacao</w:t>
      </w:r>
      <w:r>
        <w:rPr>
          <w:rStyle w:val="LinkdaInternet"/>
          <w:rFonts w:ascii="Times New Roman" w:hAnsi="Times New Roman"/>
          <w:color w:val="auto"/>
          <w:sz w:val="22"/>
          <w:szCs w:val="22"/>
        </w:rPr>
        <w:t>@caupr.gov.br</w:t>
      </w:r>
      <w:r>
        <w:rPr>
          <w:rFonts w:ascii="Times New Roman" w:hAnsi="Times New Roman"/>
          <w:sz w:val="22"/>
          <w:szCs w:val="22"/>
        </w:rPr>
        <w:t xml:space="preserve"> para esclarecimentos de dúvidas com relação ao Edital ou com relação à execução da parceria e a prestação de contas;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3"/>
        </w:numPr>
        <w:suppressAutoHyphens w:val="false"/>
        <w:spacing w:before="6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4">
        <w:r>
          <w:rPr>
            <w:rFonts w:ascii="Times New Roman" w:hAnsi="Times New Roman"/>
            <w:sz w:val="22"/>
            <w:szCs w:val="22"/>
          </w:rPr>
          <w:t>Anexo I – Formulário de Apresentação do Projeto</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5">
        <w:r>
          <w:rPr>
            <w:rFonts w:ascii="Times New Roman" w:hAnsi="Times New Roman"/>
            <w:sz w:val="22"/>
            <w:szCs w:val="22"/>
          </w:rPr>
          <w:t>Anexo II – Plano de Trabalho</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6">
        <w:r>
          <w:rPr>
            <w:rFonts w:ascii="Times New Roman" w:hAnsi="Times New Roman"/>
            <w:sz w:val="22"/>
            <w:szCs w:val="22"/>
          </w:rPr>
          <w:t>Anexo III – Declaração – art. 26, IX, Decreto 8.726-2016</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7">
        <w:r>
          <w:rPr>
            <w:rFonts w:ascii="Times New Roman" w:hAnsi="Times New Roman"/>
            <w:sz w:val="22"/>
            <w:szCs w:val="22"/>
          </w:rPr>
          <w:t>Anexo IV – Declaração – Vedação – Dirigentes CAUBR e CAUUF</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8">
        <w:r>
          <w:rPr>
            <w:rFonts w:ascii="Times New Roman" w:hAnsi="Times New Roman"/>
            <w:sz w:val="22"/>
            <w:szCs w:val="22"/>
          </w:rPr>
          <w:t>Anexo V – Declaração – art. 26, X, Decreto 8.726-2016</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9">
        <w:r>
          <w:rPr>
            <w:rFonts w:ascii="Times New Roman" w:hAnsi="Times New Roman"/>
            <w:sz w:val="22"/>
            <w:szCs w:val="22"/>
          </w:rPr>
          <w:t>Anexo VI – Declaração – art. 27, I, a e b, Decreto 8726-2016</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0">
        <w:r>
          <w:rPr>
            <w:rFonts w:ascii="Times New Roman" w:hAnsi="Times New Roman"/>
            <w:sz w:val="22"/>
            <w:szCs w:val="22"/>
          </w:rPr>
          <w:t>Anexo VII – Declaração – art. 27, II, Decreto 8726-2016</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1">
        <w:r>
          <w:rPr>
            <w:rFonts w:ascii="Times New Roman" w:hAnsi="Times New Roman"/>
            <w:sz w:val="22"/>
            <w:szCs w:val="22"/>
          </w:rPr>
          <w:t>Anexo VIII – Declaração – art. 27, III, Decreto 8726-2016 – 003-2018</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2">
        <w:r>
          <w:rPr>
            <w:rFonts w:ascii="Times New Roman" w:hAnsi="Times New Roman"/>
            <w:sz w:val="22"/>
            <w:szCs w:val="22"/>
          </w:rPr>
          <w:t>Anexo IX – Declaração – art. 33, Decreto 8726-2016</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3">
        <w:r>
          <w:rPr>
            <w:rFonts w:ascii="Times New Roman" w:hAnsi="Times New Roman"/>
            <w:sz w:val="22"/>
            <w:szCs w:val="22"/>
          </w:rPr>
          <w:t>Anexo X – Declaração de recebimento de repasse de recurso</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4">
        <w:r>
          <w:rPr>
            <w:rFonts w:ascii="Times New Roman" w:hAnsi="Times New Roman"/>
            <w:sz w:val="22"/>
            <w:szCs w:val="22"/>
          </w:rPr>
          <w:t>Anexo XI – Manual Prestação Contas</w:t>
        </w:r>
      </w:hyperlink>
    </w:p>
    <w:p>
      <w:pPr>
        <w:pStyle w:val="ListParagraph"/>
        <w:numPr>
          <w:ilvl w:val="3"/>
          <w:numId w:val="10"/>
        </w:numPr>
        <w:suppressAutoHyphens w:val="false"/>
        <w:spacing w:lineRule="auto" w:line="264" w:before="120" w:after="0"/>
        <w:ind w:left="1701" w:hanging="567"/>
        <w:jc w:val="both"/>
        <w:rPr>
          <w:rFonts w:ascii="Times New Roman" w:hAnsi="Times New Roman"/>
          <w:sz w:val="22"/>
          <w:szCs w:val="22"/>
        </w:rPr>
      </w:pPr>
      <w:hyperlink r:id="rId15">
        <w:r>
          <w:rPr>
            <w:rFonts w:ascii="Times New Roman" w:hAnsi="Times New Roman"/>
            <w:sz w:val="22"/>
            <w:szCs w:val="22"/>
          </w:rPr>
          <w:t>Apenso 1 – Relatório Final Execução do Objeto</w:t>
        </w:r>
      </w:hyperlink>
    </w:p>
    <w:p>
      <w:pPr>
        <w:pStyle w:val="ListParagraph"/>
        <w:numPr>
          <w:ilvl w:val="3"/>
          <w:numId w:val="10"/>
        </w:numPr>
        <w:suppressAutoHyphens w:val="false"/>
        <w:spacing w:lineRule="auto" w:line="264" w:before="120" w:after="0"/>
        <w:ind w:left="1701" w:hanging="567"/>
        <w:jc w:val="both"/>
        <w:rPr>
          <w:rFonts w:ascii="Times New Roman" w:hAnsi="Times New Roman"/>
          <w:sz w:val="22"/>
          <w:szCs w:val="22"/>
        </w:rPr>
      </w:pPr>
      <w:hyperlink r:id="rId16">
        <w:r>
          <w:rPr>
            <w:rFonts w:ascii="Times New Roman" w:hAnsi="Times New Roman"/>
            <w:sz w:val="22"/>
            <w:szCs w:val="22"/>
          </w:rPr>
          <w:t>Apenso 2 – Relatório Final Execução Financeira</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7">
        <w:r>
          <w:rPr>
            <w:rFonts w:ascii="Times New Roman" w:hAnsi="Times New Roman"/>
            <w:sz w:val="22"/>
            <w:szCs w:val="22"/>
          </w:rPr>
          <w:t>Anexo XII – Minuta Termo de Fomento</w:t>
        </w:r>
      </w:hyperlink>
    </w:p>
    <w:p>
      <w:pPr>
        <w:pStyle w:val="ListParagraph"/>
        <w:numPr>
          <w:ilvl w:val="2"/>
          <w:numId w:val="3"/>
        </w:numPr>
        <w:suppressAutoHyphens w:val="false"/>
        <w:spacing w:lineRule="auto" w:line="264" w:before="120" w:after="0"/>
        <w:ind w:left="1276" w:hanging="709"/>
        <w:jc w:val="both"/>
        <w:rPr>
          <w:rFonts w:ascii="Times New Roman" w:hAnsi="Times New Roman"/>
          <w:sz w:val="22"/>
          <w:szCs w:val="22"/>
        </w:rPr>
      </w:pPr>
      <w:hyperlink r:id="rId18">
        <w:r>
          <w:rPr>
            <w:rFonts w:ascii="Times New Roman" w:hAnsi="Times New Roman"/>
            <w:sz w:val="22"/>
            <w:szCs w:val="22"/>
          </w:rPr>
          <w:t>Anexo XIII – Cronograma</w:t>
        </w:r>
      </w:hyperlink>
    </w:p>
    <w:p>
      <w:pPr>
        <w:pStyle w:val="Normal"/>
        <w:spacing w:lineRule="auto" w:line="264" w:before="120" w:after="116"/>
        <w:ind w:left="-10" w:hanging="0"/>
        <w:rPr>
          <w:rFonts w:ascii="Times New Roman" w:hAnsi="Times New Roman" w:cs="Times New Roman"/>
          <w:b/>
          <w:b/>
          <w:sz w:val="22"/>
        </w:rPr>
      </w:pPr>
      <w:r>
        <w:rPr>
          <w:rFonts w:cs="Times New Roman" w:ascii="Times New Roman" w:hAnsi="Times New Roman"/>
          <w:b/>
          <w:sz w:val="22"/>
        </w:rPr>
      </w:r>
    </w:p>
    <w:p>
      <w:pPr>
        <w:pStyle w:val="Normal"/>
        <w:spacing w:before="0" w:after="160"/>
        <w:ind w:left="0" w:hanging="0"/>
        <w:jc w:val="center"/>
        <w:rPr>
          <w:rFonts w:ascii="Times New Roman" w:hAnsi="Times New Roman" w:cs="Times New Roman"/>
          <w:sz w:val="22"/>
        </w:rPr>
      </w:pPr>
      <w:r>
        <w:rPr>
          <w:rFonts w:cs="Times New Roman" w:ascii="Times New Roman" w:hAnsi="Times New Roman"/>
          <w:sz w:val="22"/>
        </w:rPr>
      </w:r>
    </w:p>
    <w:p>
      <w:pPr>
        <w:pStyle w:val="Normal"/>
        <w:spacing w:before="0" w:after="160"/>
        <w:ind w:left="0" w:hanging="0"/>
        <w:jc w:val="center"/>
        <w:rPr>
          <w:rFonts w:ascii="Times New Roman" w:hAnsi="Times New Roman" w:cs="Times New Roman"/>
          <w:sz w:val="22"/>
        </w:rPr>
      </w:pPr>
      <w:r>
        <w:rPr>
          <w:rFonts w:cs="Times New Roman" w:ascii="Times New Roman" w:hAnsi="Times New Roman"/>
          <w:sz w:val="22"/>
        </w:rPr>
        <w:t>Curitiba (PR), 15 de outubro de 2021</w:t>
      </w:r>
    </w:p>
    <w:p>
      <w:pPr>
        <w:pStyle w:val="Normal"/>
        <w:spacing w:before="0" w:after="160"/>
        <w:ind w:left="0" w:hanging="0"/>
        <w:jc w:val="center"/>
        <w:rPr>
          <w:rFonts w:ascii="Times New Roman" w:hAnsi="Times New Roman" w:cs="Times New Roman"/>
          <w:sz w:val="22"/>
        </w:rPr>
      </w:pPr>
      <w:r>
        <w:rPr>
          <w:rFonts w:cs="Times New Roman" w:ascii="Times New Roman" w:hAnsi="Times New Roman"/>
          <w:sz w:val="22"/>
        </w:rPr>
      </w:r>
    </w:p>
    <w:p>
      <w:pPr>
        <w:pStyle w:val="Normal"/>
        <w:spacing w:before="0" w:after="160"/>
        <w:ind w:left="0" w:hanging="0"/>
        <w:jc w:val="center"/>
        <w:rPr>
          <w:rFonts w:ascii="Times New Roman" w:hAnsi="Times New Roman" w:cs="Times New Roman"/>
          <w:sz w:val="22"/>
        </w:rPr>
      </w:pPr>
      <w:r>
        <w:rPr>
          <w:rFonts w:cs="Times New Roman" w:ascii="Times New Roman" w:hAnsi="Times New Roman"/>
          <w:sz w:val="22"/>
        </w:rPr>
      </w:r>
    </w:p>
    <w:p>
      <w:pPr>
        <w:pStyle w:val="Normal"/>
        <w:spacing w:before="0" w:after="0"/>
        <w:ind w:left="0" w:hanging="0"/>
        <w:jc w:val="center"/>
        <w:rPr>
          <w:rFonts w:ascii="Times New Roman" w:hAnsi="Times New Roman" w:cs="Times New Roman"/>
          <w:b/>
          <w:b/>
          <w:sz w:val="22"/>
        </w:rPr>
      </w:pPr>
      <w:r>
        <w:rPr>
          <w:rFonts w:cs="Times New Roman" w:ascii="Times New Roman" w:hAnsi="Times New Roman"/>
          <w:b/>
          <w:sz w:val="22"/>
        </w:rPr>
        <w:t>Milton Carlos Zanelatto Gonçalves</w:t>
      </w:r>
    </w:p>
    <w:p>
      <w:pPr>
        <w:pStyle w:val="Normal"/>
        <w:spacing w:before="0" w:after="0"/>
        <w:ind w:left="0" w:hanging="0"/>
        <w:jc w:val="center"/>
        <w:rPr>
          <w:rFonts w:ascii="Times New Roman" w:hAnsi="Times New Roman" w:cs="Times New Roman"/>
          <w:b/>
          <w:b/>
          <w:sz w:val="22"/>
        </w:rPr>
      </w:pPr>
      <w:r>
        <w:rPr>
          <w:rFonts w:cs="Times New Roman" w:ascii="Times New Roman" w:hAnsi="Times New Roman"/>
          <w:b/>
          <w:sz w:val="22"/>
        </w:rPr>
        <w:t>Presidente do CAU/PR</w:t>
      </w:r>
    </w:p>
    <w:sectPr>
      <w:headerReference w:type="default" r:id="rId19"/>
      <w:footerReference w:type="default" r:id="rId20"/>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454" w:right="-454" w:hanging="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18123313"/>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2">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21</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21</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lvl w:ilvl="0">
      <w:start w:val="1"/>
      <w:numFmt w:val="decimal"/>
      <w:lvlText w:val="%1."/>
      <w:lvlJc w:val="left"/>
      <w:pPr>
        <w:tabs>
          <w:tab w:val="num" w:pos="0"/>
        </w:tabs>
        <w:ind w:left="350" w:hanging="350"/>
      </w:pPr>
      <w:rPr>
        <w:b/>
        <w:rFonts w:ascii="Times New Roman" w:hAnsi="Times New Roman" w:eastAsia="Arial" w:cs="Arial"/>
      </w:rPr>
    </w:lvl>
    <w:lvl w:ilvl="1">
      <w:start w:val="1"/>
      <w:numFmt w:val="decimal"/>
      <w:lvlText w:val="%1.%2"/>
      <w:lvlJc w:val="left"/>
      <w:pPr>
        <w:tabs>
          <w:tab w:val="num" w:pos="680"/>
        </w:tabs>
        <w:ind w:left="907" w:hanging="340"/>
      </w:pPr>
      <w:rPr>
        <w:sz w:val="22"/>
        <w:b/>
        <w:szCs w:val="22"/>
      </w:rPr>
    </w:lvl>
    <w:lvl w:ilvl="2">
      <w:start w:val="1"/>
      <w:numFmt w:val="decimal"/>
      <w:lvlText w:val="%1.%2.%3"/>
      <w:lvlJc w:val="left"/>
      <w:pPr>
        <w:tabs>
          <w:tab w:val="num" w:pos="1361"/>
        </w:tabs>
        <w:ind w:left="1474" w:hanging="567"/>
      </w:pPr>
      <w:rPr>
        <w:sz w:val="22"/>
        <w:b/>
        <w:szCs w:val="22"/>
        <w:color w:val="000000"/>
      </w:rPr>
    </w:lvl>
    <w:lvl w:ilvl="3">
      <w:start w:val="1"/>
      <w:numFmt w:val="decimal"/>
      <w:lvlText w:val="%1.%2.%3.%4"/>
      <w:lvlJc w:val="left"/>
      <w:pPr>
        <w:tabs>
          <w:tab w:val="num" w:pos="0"/>
        </w:tabs>
        <w:ind w:left="2041" w:hanging="567"/>
      </w:pPr>
      <w:rPr>
        <w:b/>
      </w:rPr>
    </w:lvl>
    <w:lvl w:ilvl="4">
      <w:start w:val="1"/>
      <w:numFmt w:val="lowerLetter"/>
      <w:lvlText w:val="%5)"/>
      <w:lvlJc w:val="left"/>
      <w:pPr>
        <w:tabs>
          <w:tab w:val="num" w:pos="0"/>
        </w:tabs>
        <w:ind w:left="3902" w:hanging="1080"/>
      </w:pPr>
      <w:rPr>
        <w:b/>
        <w:rFonts w:ascii="Times New Roman" w:hAnsi="Times New Roman" w:eastAsia="Arial" w:cs="Arial"/>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4">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5">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0">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12">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13">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b/>
      </w:rPr>
    </w:lvl>
    <w:lvl w:ilvl="2">
      <w:start w:val="1"/>
      <w:numFmt w:val="decimal"/>
      <w:lvlText w:val="%1.%2.%3"/>
      <w:lvlJc w:val="left"/>
      <w:pPr>
        <w:tabs>
          <w:tab w:val="num" w:pos="3543"/>
        </w:tabs>
        <w:ind w:left="5681" w:hanging="720"/>
      </w:pPr>
      <w:rPr>
        <w:b/>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4">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eastAsia="pt-BR" w:val="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eastAsia="pt-BR" w:val="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basedOn w:val="DefaultParagraphFont"/>
    <w:uiPriority w:val="99"/>
    <w:unhideWhenUsed/>
    <w:rsid w:val="00e55053"/>
    <w:rPr>
      <w:color w:val="0000FF"/>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240820"/>
    <w:pPr>
      <w:widowControl w:val="false"/>
      <w:spacing w:lineRule="auto" w:line="240" w:before="119" w:after="0"/>
      <w:ind w:left="1234" w:hanging="0"/>
      <w:jc w:val="left"/>
    </w:pPr>
    <w:rPr>
      <w:color w:val="auto"/>
      <w:sz w:val="22"/>
      <w:lang w:bidi="pt-BR"/>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eastAsia="pt-BR" w:val="pt-BR" w:bidi="ar-SA"/>
    </w:rPr>
  </w:style>
  <w:style w:type="paragraph" w:styleId="ListParagraph">
    <w:name w:val="List Paragraph"/>
    <w:basedOn w:val="Normal"/>
    <w:uiPriority w:val="1"/>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TableParagraph" w:customStyle="1">
    <w:name w:val="Table Paragraph"/>
    <w:basedOn w:val="Normal"/>
    <w:uiPriority w:val="1"/>
    <w:qFormat/>
    <w:rsid w:val="00ba59c2"/>
    <w:pPr>
      <w:widowControl w:val="false"/>
      <w:spacing w:lineRule="auto" w:line="240" w:before="0" w:after="0"/>
      <w:ind w:left="0" w:hanging="0"/>
      <w:jc w:val="left"/>
    </w:pPr>
    <w:rPr>
      <w:rFonts w:ascii="Times New Roman" w:hAnsi="Times New Roman" w:eastAsia="Times New Roman" w:cs="Times New Roman"/>
      <w:color w:val="auto"/>
      <w:sz w:val="22"/>
      <w:lang w:bidi="pt-BR"/>
    </w:rPr>
  </w:style>
  <w:style w:type="paragraph" w:styleId="NormalWeb">
    <w:name w:val="Normal (Web)"/>
    <w:basedOn w:val="Normal"/>
    <w:uiPriority w:val="99"/>
    <w:semiHidden/>
    <w:unhideWhenUsed/>
    <w:qFormat/>
    <w:rsid w:val="006e1bb2"/>
    <w:pPr>
      <w:spacing w:lineRule="auto" w:line="240" w:beforeAutospacing="1" w:afterAutospacing="1"/>
      <w:ind w:left="0" w:hanging="0"/>
      <w:jc w:val="left"/>
    </w:pPr>
    <w:rPr>
      <w:rFonts w:ascii="Times New Roman" w:hAnsi="Times New Roman" w:eastAsia="Times New Roman" w:cs="Times New Roman"/>
      <w:color w:val="auto"/>
      <w:szCs w:val="24"/>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numbering" w:styleId="Listaatual1" w:customStyle="1">
    <w:name w:val="Lista atual1"/>
    <w:uiPriority w:val="99"/>
    <w:qFormat/>
    <w:rsid w:val="009b588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s://transparencia.causp.gov.br/wp-content/uploads/2.-ANEXO-II-Formul&#225;rio-de-Apresenta&#231;&#227;o-do-Projeto.doc" TargetMode="External"/><Relationship Id="rId5" Type="http://schemas.openxmlformats.org/officeDocument/2006/relationships/hyperlink" Target="https://transparencia.causp.gov.br/wp-content/uploads/3.-ANEXO-III-Plano-de-Trabalho.docx" TargetMode="External"/><Relationship Id="rId6" Type="http://schemas.openxmlformats.org/officeDocument/2006/relationships/hyperlink" Target="https://transparencia.causp.gov.br/wp-content/uploads/4.-ANEXO-IV-Declara&#231;&#227;o-art.-26-IX-Decreto-8.726-2016.doc" TargetMode="External"/><Relationship Id="rId7" Type="http://schemas.openxmlformats.org/officeDocument/2006/relationships/hyperlink" Target="https://transparencia.causp.gov.br/wp-content/uploads/5.-ANEXO-V-Declara&#231;&#227;o-Veda&#231;&#227;o-Dirigentes-CAUBR-e-CAUUF.doc" TargetMode="External"/><Relationship Id="rId8" Type="http://schemas.openxmlformats.org/officeDocument/2006/relationships/hyperlink" Target="https://transparencia.causp.gov.br/wp-content/uploads/6.-ANEXO-VI-Declara&#231;&#227;o-art.-26-X-Decreto-8.726-2016.doc" TargetMode="External"/><Relationship Id="rId9" Type="http://schemas.openxmlformats.org/officeDocument/2006/relationships/hyperlink" Target="https://transparencia.causp.gov.br/wp-content/uploads/7.-ANEXO-VII-Declara&#231;&#227;o-art.-27-I-a-e-b-Decreto-8726-2016.doc" TargetMode="External"/><Relationship Id="rId10" Type="http://schemas.openxmlformats.org/officeDocument/2006/relationships/hyperlink" Target="https://transparencia.causp.gov.br/wp-content/uploads/8.-ANEXO-VIII-Declara&#231;&#227;o-art.-27-II-Decreto-8726-2016.doc" TargetMode="External"/><Relationship Id="rId11" Type="http://schemas.openxmlformats.org/officeDocument/2006/relationships/hyperlink" Target="https://transparencia.causp.gov.br/wp-content/uploads/9.-ANEXO-IX-Declara&#231;&#227;o-art.-27-III-Decreto-8726-2016.doc" TargetMode="External"/><Relationship Id="rId12" Type="http://schemas.openxmlformats.org/officeDocument/2006/relationships/hyperlink" Target="https://transparencia.causp.gov.br/wp-content/uploads/10.-ANEXO-X-Declara&#231;&#227;o-art.-33-Decreto-8726-2016.doc" TargetMode="External"/><Relationship Id="rId13" Type="http://schemas.openxmlformats.org/officeDocument/2006/relationships/hyperlink" Target="https://transparencia.causp.gov.br/wp-content/uploads/11.-ANEXO-XI-Declara&#231;&#227;o-de-recebimento-de-repasse-de-recurso.doc" TargetMode="External"/><Relationship Id="rId14" Type="http://schemas.openxmlformats.org/officeDocument/2006/relationships/hyperlink" Target="https://transparencia.causp.gov.br/wp-content/uploads/12.-ANEXO-XII-Manual-Presta&#231;&#227;o-Contas.doc" TargetMode="External"/><Relationship Id="rId15" Type="http://schemas.openxmlformats.org/officeDocument/2006/relationships/hyperlink" Target="https://transparencia.causp.gov.br/wp-content/uploads/13.-ANEXO-XII-Apenso-1-Relat&#243;rio-Final-Execu&#231;&#227;o-do-Objeto.docx" TargetMode="External"/><Relationship Id="rId16" Type="http://schemas.openxmlformats.org/officeDocument/2006/relationships/hyperlink" Target="https://transparencia.causp.gov.br/wp-content/uploads/14.-ANEXO-XII-Apenso-2-Relat&#243;rio-Final-Execu&#231;&#227;o-Financeira.docx" TargetMode="External"/><Relationship Id="rId17" Type="http://schemas.openxmlformats.org/officeDocument/2006/relationships/hyperlink" Target="https://transparencia.causp.gov.br/wp-content/uploads/15.-ANEXO-XIII-Minuta-Termo-de-Fomento.doc" TargetMode="External"/><Relationship Id="rId18" Type="http://schemas.openxmlformats.org/officeDocument/2006/relationships/hyperlink" Target="https://transparencia.causp.gov.br/wp-content/uploads/16.-ANEXO-XIV-Cronograma-2&#170;-Publica&#231;&#227;o.docx"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61BD-A8FA-4D97-874E-8D6E4C72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Application>LibreOffice/7.1.3.2$Windows_X86_64 LibreOffice_project/47f78053abe362b9384784d31a6e56f8511eb1c1</Application>
  <AppVersion>15.0000</AppVersion>
  <Pages>21</Pages>
  <Words>9002</Words>
  <Characters>49890</Characters>
  <CharactersWithSpaces>58266</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2021-10-15T15:42:00Z</dcterms:created>
  <dc:creator>user</dc:creator>
  <dc:description/>
  <dc:language>pt-BR</dc:language>
  <cp:lastModifiedBy/>
  <cp:lastPrinted>2019-10-02T13:23:00Z</cp:lastPrinted>
  <dcterms:modified xsi:type="dcterms:W3CDTF">2021-10-15T17:16:21Z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