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CONSELHO DE ARQUITETURA E URBANISMO DO PARANÁ (CAU/PR)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SERVIÇO PÚBLICO FEDERAL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ANEXO II</w:t>
      </w:r>
      <w:bookmarkStart w:id="0" w:name="_GoBack"/>
      <w:bookmarkEnd w:id="0"/>
      <w:r>
        <w:rPr>
          <w:b/>
          <w:bCs/>
        </w:rPr>
        <w:t xml:space="preserve"> - INSTRUMENTO DE MEDIÇÃO DE RESULTADOS – IMR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(Modelo)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Processo Administrativo nº: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Protocolo SICCAU nº: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Contrato nº: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Empresa: </w:t>
      </w:r>
      <w:r>
        <w:rPr/>
        <w:t>(razão social) / (CNPJ) Preposto: (nome completo)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Mês de referência: </w:t>
      </w:r>
      <w:r>
        <w:rPr/>
        <w:t xml:space="preserve">MM/AAAA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Data inicial: </w:t>
      </w:r>
      <w:r>
        <w:rPr/>
        <w:t>DD/MM/AAAA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Data de fechamento: </w:t>
      </w:r>
      <w:r>
        <w:rPr/>
        <w:t>DD/MM/AAAA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Objeto da Contratação: </w:t>
      </w:r>
      <w:r>
        <w:rPr/>
        <w:t xml:space="preserve">Contratação de empresa para prestação de serviços técnicos especializados na área de Tecnologia da Informação (TI), </w:t>
      </w:r>
      <w:r>
        <w:rPr>
          <w:b/>
        </w:rPr>
        <w:t>SEM MÃO DE OBRA EXCLUSIVA</w:t>
      </w:r>
      <w:r>
        <w:rPr/>
        <w:t>, para operação da infraestrutura de TI, compreendendo os serviços de monitoramento, sustentação do ambiente computacional, suporte aos usuários e apoio técnico à gestão de TI do Conselho de Arquitetura e Urbanismo do Paraná, através de uma Central de Serviços (Service Desk), de modo presencial e remoto, para atendimento de chamados de 1°, 2° e 3° nível, entendendo-se como TI todos os processos que envolvem a informática, conforme requisitos descritos em Edital e seus anexos.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Introdução</w:t>
      </w:r>
    </w:p>
    <w:p>
      <w:pPr>
        <w:pStyle w:val="Normal"/>
        <w:rPr>
          <w:b/>
          <w:b/>
          <w:bCs/>
        </w:rPr>
      </w:pPr>
      <w:r>
        <w:rPr/>
        <w:t>Para permitir que a gestão contratual esteja alinhada com a gestão da qualidade dos serviços prestados, foram estabelecidos níveis de serviço e indicadores de desempenho mínimos para a execução dos serviços contratados. Assim, os resultados serão medidos baseados em indicadores vinculados a fórmulas de cálculo específicas, apurados temporalmente e continuamente monitorados, objetivando o cumprimento das metas estabelecidas. Este conceito vincula-se ao modelo de contratação de soluções de Tecnologia da Informação na Administração Pública Federal, no qual os serviços serão remunerados considerando parâmetros de qualidade e entrega efetiva de resultados. Todos as especificações dos serviços e os critérios acima mencionados estão contidos do Termo de Referência do Edital e seus Anexos. Mensalmente, a relação de serviços executados no período, deve ser anexada ao final deste instrumento.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Quantidade de chamados no período</w:t>
      </w:r>
    </w:p>
    <w:p>
      <w:pPr>
        <w:pStyle w:val="Corpodotexto"/>
        <w:spacing w:before="12" w:after="0"/>
        <w:rPr>
          <w:rFonts w:ascii="Tahoma" w:hAnsi="Tahoma"/>
          <w:b/>
          <w:b/>
          <w:sz w:val="17"/>
        </w:rPr>
      </w:pPr>
      <w:r>
        <w:rPr>
          <w:rFonts w:ascii="Tahoma" w:hAnsi="Tahoma"/>
          <w:b/>
          <w:sz w:val="17"/>
        </w:rPr>
      </w:r>
    </w:p>
    <w:tbl>
      <w:tblPr>
        <w:tblW w:w="4249" w:type="dxa"/>
        <w:jc w:val="left"/>
        <w:tblInd w:w="34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08"/>
        <w:gridCol w:w="1263"/>
        <w:gridCol w:w="778"/>
      </w:tblGrid>
      <w:tr>
        <w:trPr>
          <w:trHeight w:val="251" w:hRule="atLeast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116"/>
              <w:ind w:left="316" w:hanging="0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Quantidade de chamados por prioridade</w:t>
            </w:r>
          </w:p>
        </w:tc>
      </w:tr>
      <w:tr>
        <w:trPr>
          <w:trHeight w:val="249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91" w:right="72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Prioridade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90" w:right="71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Quantidade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7" w:right="70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(%)</w:t>
            </w:r>
          </w:p>
        </w:tc>
      </w:tr>
      <w:tr>
        <w:trPr>
          <w:trHeight w:val="249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9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pacing w:lineRule="exact" w:line="212" w:before="0" w:after="116"/>
              <w:ind w:left="9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lineRule="exact" w:line="212" w:before="0" w:after="116"/>
              <w:ind w:left="9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2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9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6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2" w:before="0" w:after="116"/>
              <w:ind w:left="91" w:right="74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TOTAL DE CHAMADOS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2" w:before="0" w:after="116"/>
              <w:ind w:left="16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2" w:before="0" w:after="116"/>
              <w:ind w:left="92" w:right="70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100%</w:t>
            </w:r>
          </w:p>
        </w:tc>
      </w:tr>
    </w:tbl>
    <w:p>
      <w:pPr>
        <w:pStyle w:val="Corpodotexto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Corpodotexto"/>
        <w:spacing w:before="11" w:after="1"/>
        <w:rPr>
          <w:rFonts w:ascii="Tahoma" w:hAnsi="Tahoma"/>
          <w:b/>
          <w:b/>
          <w:sz w:val="16"/>
        </w:rPr>
      </w:pPr>
      <w:r>
        <w:rPr>
          <w:rFonts w:ascii="Tahoma" w:hAnsi="Tahoma"/>
          <w:b/>
          <w:sz w:val="16"/>
        </w:rPr>
      </w:r>
    </w:p>
    <w:tbl>
      <w:tblPr>
        <w:tblW w:w="4249" w:type="dxa"/>
        <w:jc w:val="left"/>
        <w:tblInd w:w="34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08"/>
        <w:gridCol w:w="1263"/>
        <w:gridCol w:w="778"/>
      </w:tblGrid>
      <w:tr>
        <w:trPr>
          <w:trHeight w:val="249" w:hRule="atLeast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604" w:hanging="0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Quantidade de chamados por tipo</w:t>
            </w:r>
          </w:p>
        </w:tc>
      </w:tr>
      <w:tr>
        <w:trPr>
          <w:trHeight w:val="249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9" w:right="74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Tipo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7" w:right="73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Quantidade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2" w:right="70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(%)</w:t>
            </w:r>
          </w:p>
        </w:tc>
      </w:tr>
      <w:tr>
        <w:trPr>
          <w:trHeight w:val="249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9" w:right="74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Incidente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pacing w:lineRule="exact" w:line="212" w:before="0" w:after="116"/>
              <w:ind w:left="91" w:right="73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Problema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7" w:right="74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Mudança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7" w:right="74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Requisição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3" w:before="0" w:after="116"/>
              <w:ind w:left="91" w:right="74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TOTAL DE CHAMADOS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3" w:before="0" w:after="116"/>
              <w:ind w:left="16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3" w:before="0" w:after="116"/>
              <w:ind w:left="94" w:right="67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100%</w:t>
            </w:r>
          </w:p>
        </w:tc>
      </w:tr>
    </w:tbl>
    <w:p>
      <w:pPr>
        <w:pStyle w:val="Corpodotexto"/>
        <w:spacing w:before="2" w:after="0"/>
        <w:jc w:val="both"/>
        <w:rPr>
          <w:rFonts w:ascii="Tahoma" w:hAnsi="Tahoma"/>
          <w:b/>
          <w:b/>
          <w:sz w:val="27"/>
        </w:rPr>
      </w:pPr>
      <w:r>
        <w:rPr>
          <w:rFonts w:ascii="Tahoma" w:hAnsi="Tahoma"/>
          <w:b/>
          <w:sz w:val="27"/>
        </w:rPr>
      </w:r>
    </w:p>
    <w:p>
      <w:pPr>
        <w:pStyle w:val="Corpodotexto"/>
        <w:spacing w:before="2" w:after="0"/>
        <w:jc w:val="both"/>
        <w:rPr>
          <w:rFonts w:ascii="Tahoma" w:hAnsi="Tahoma"/>
          <w:b/>
          <w:b/>
          <w:sz w:val="27"/>
        </w:rPr>
      </w:pPr>
      <w:r>
        <w:rPr>
          <w:rFonts w:ascii="Arial" w:hAnsi="Arial"/>
        </w:rPr>
        <w:t>Observação: Os dados acima tem caráter meramente informativo e servem de apoio à análise dos serviços demandados e a tomada de decisões.</w:t>
      </w:r>
    </w:p>
    <w:p>
      <w:pPr>
        <w:pStyle w:val="Corpodotexto"/>
        <w:spacing w:before="2" w:after="0"/>
        <w:jc w:val="both"/>
        <w:rPr>
          <w:rFonts w:ascii="Tahoma" w:hAnsi="Tahoma"/>
          <w:b/>
          <w:b/>
          <w:sz w:val="27"/>
        </w:rPr>
      </w:pPr>
      <w:r>
        <w:rPr>
          <w:rFonts w:ascii="Tahoma" w:hAnsi="Tahoma"/>
          <w:b/>
          <w:sz w:val="27"/>
        </w:rPr>
      </w:r>
    </w:p>
    <w:p>
      <w:pPr>
        <w:pStyle w:val="Corpodotexto"/>
        <w:spacing w:before="2" w:after="0"/>
        <w:jc w:val="both"/>
        <w:rPr>
          <w:rFonts w:ascii="Tahoma" w:hAnsi="Tahoma"/>
          <w:b/>
          <w:b/>
          <w:sz w:val="27"/>
        </w:rPr>
      </w:pPr>
      <w:r>
        <w:rPr>
          <w:rFonts w:ascii="Tahoma" w:hAnsi="Tahoma"/>
          <w:b/>
          <w:sz w:val="27"/>
        </w:rPr>
      </w:r>
    </w:p>
    <w:p>
      <w:pPr>
        <w:pStyle w:val="Corpodotexto"/>
        <w:spacing w:before="2" w:after="0"/>
        <w:jc w:val="both"/>
        <w:rPr>
          <w:rFonts w:ascii="Tahoma" w:hAnsi="Tahoma"/>
          <w:b/>
          <w:b/>
          <w:sz w:val="27"/>
        </w:rPr>
      </w:pPr>
      <w:r>
        <w:rPr>
          <w:rFonts w:ascii="Arial" w:hAnsi="Arial"/>
          <w:b/>
          <w:bCs/>
        </w:rPr>
        <w:t>3. Apuração dos resultados e aplicação dos indicadores de desempenho</w:t>
      </w:r>
    </w:p>
    <w:p>
      <w:pPr>
        <w:pStyle w:val="Corpodotexto"/>
        <w:spacing w:before="2" w:after="0"/>
        <w:jc w:val="both"/>
        <w:rPr>
          <w:rFonts w:ascii="Tahoma" w:hAnsi="Tahoma"/>
          <w:b/>
          <w:b/>
          <w:sz w:val="27"/>
        </w:rPr>
      </w:pPr>
      <w:r>
        <w:rPr>
          <w:rFonts w:ascii="Tahoma" w:hAnsi="Tahoma"/>
          <w:b/>
          <w:sz w:val="27"/>
        </w:rPr>
      </w:r>
    </w:p>
    <w:p>
      <w:pPr>
        <w:pStyle w:val="Normal"/>
        <w:spacing w:lineRule="auto" w:line="276" w:before="119" w:after="0"/>
        <w:ind w:left="0" w:hanging="0"/>
        <w:rPr/>
      </w:pPr>
      <w:r>
        <w:rPr>
          <w:b/>
          <w:bCs/>
          <w:szCs w:val="24"/>
        </w:rPr>
        <w:t>Indicador 1 – Índice de Tempo de Início do Atendimento (TIA)</w:t>
      </w:r>
    </w:p>
    <w:p>
      <w:pPr>
        <w:pStyle w:val="Normal"/>
        <w:spacing w:lineRule="auto" w:line="276" w:before="119" w:after="0"/>
        <w:ind w:left="0" w:hanging="0"/>
        <w:rPr>
          <w:rFonts w:ascii="Tahoma" w:hAnsi="Tahoma"/>
          <w:b/>
          <w:b/>
          <w:sz w:val="27"/>
        </w:rPr>
      </w:pPr>
      <w:r>
        <w:rPr>
          <w:b/>
          <w:bCs/>
          <w:color w:val="auto"/>
          <w:szCs w:val="24"/>
        </w:rPr>
        <w:t xml:space="preserve">Fórmula de Cálculo: </w:t>
      </w:r>
      <w:r>
        <w:rPr>
          <w:color w:val="auto"/>
          <w:szCs w:val="24"/>
        </w:rPr>
        <w:t xml:space="preserve"> </w:t>
      </w:r>
      <w:r>
        <w:rPr>
          <w:b/>
          <w:bCs/>
          <w:color w:val="auto"/>
          <w:szCs w:val="24"/>
        </w:rPr>
        <w:t>TIA(%)</w:t>
      </w:r>
      <w:r>
        <w:rPr>
          <w:color w:val="auto"/>
          <w:szCs w:val="24"/>
        </w:rPr>
        <w:t xml:space="preserve"> = (Quantidade de chamados atrasados </w:t>
      </w:r>
      <w:r>
        <w:rPr>
          <w:b/>
          <w:bCs/>
          <w:color w:val="auto"/>
          <w:szCs w:val="24"/>
        </w:rPr>
        <w:t>÷</w:t>
      </w:r>
      <w:r>
        <w:rPr>
          <w:color w:val="auto"/>
          <w:szCs w:val="24"/>
        </w:rPr>
        <w:t xml:space="preserve"> Quantidade total de chamados) </w:t>
      </w:r>
      <w:r>
        <w:rPr>
          <w:b/>
          <w:bCs/>
          <w:color w:val="auto"/>
          <w:szCs w:val="24"/>
        </w:rPr>
        <w:t>*</w:t>
      </w:r>
      <w:r>
        <w:rPr>
          <w:color w:val="auto"/>
          <w:szCs w:val="24"/>
        </w:rPr>
        <w:t xml:space="preserve"> 100.</w:t>
      </w:r>
    </w:p>
    <w:p>
      <w:pPr>
        <w:pStyle w:val="Corpodotexto"/>
        <w:spacing w:before="10" w:after="0"/>
        <w:rPr>
          <w:rFonts w:ascii="Tahoma" w:hAnsi="Tahoma"/>
          <w:b/>
          <w:b/>
          <w:sz w:val="13"/>
        </w:rPr>
      </w:pPr>
      <w:r>
        <w:rPr>
          <w:rFonts w:ascii="Tahoma" w:hAnsi="Tahoma"/>
          <w:b/>
          <w:sz w:val="13"/>
        </w:rPr>
      </w:r>
    </w:p>
    <w:tbl>
      <w:tblPr>
        <w:tblW w:w="6707" w:type="dxa"/>
        <w:jc w:val="left"/>
        <w:tblInd w:w="22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163"/>
        <w:gridCol w:w="3543"/>
      </w:tblGrid>
      <w:tr>
        <w:trPr>
          <w:trHeight w:val="244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97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Quantidade de Chamados Atrasados: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71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Percentual de Chamados Atrasados: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otexto"/>
        <w:spacing w:before="10" w:after="0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tbl>
      <w:tblPr>
        <w:tblW w:w="6706" w:type="dxa"/>
        <w:jc w:val="left"/>
        <w:tblInd w:w="22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163"/>
        <w:gridCol w:w="2417"/>
        <w:gridCol w:w="1126"/>
      </w:tblGrid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95" w:right="72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TIA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87" w:right="67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Desconto no Pagamento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95" w:right="72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Resultado</w:t>
            </w:r>
          </w:p>
        </w:tc>
      </w:tr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92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Meta ≤ 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87" w:right="6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Sem desconto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1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←</w:t>
            </w:r>
          </w:p>
        </w:tc>
      </w:tr>
      <w:tr>
        <w:trPr>
          <w:trHeight w:val="251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87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5% e ≤ 15%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87" w:right="60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94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15% e ≤ 25%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87" w:right="60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94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25% e ≤ 35%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87" w:right="60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94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35% e ≤ 50%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87" w:right="58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94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50% e ≤ 75%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87" w:right="58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94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75%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87" w:right="58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otexto"/>
        <w:widowControl/>
        <w:spacing w:lineRule="auto" w:line="276" w:before="11" w:after="0"/>
        <w:jc w:val="both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p>
      <w:pPr>
        <w:pStyle w:val="Corpodotexto"/>
        <w:widowControl/>
        <w:spacing w:lineRule="auto" w:line="276" w:before="11" w:after="0"/>
        <w:jc w:val="both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p>
      <w:pPr>
        <w:pStyle w:val="Corpodotexto"/>
        <w:widowControl/>
        <w:spacing w:lineRule="auto" w:line="276" w:before="11" w:after="0"/>
        <w:jc w:val="both"/>
        <w:rPr>
          <w:rFonts w:ascii="Tahoma" w:hAnsi="Tahoma"/>
          <w:b/>
          <w:b/>
          <w:sz w:val="18"/>
        </w:rPr>
      </w:pPr>
      <w:r>
        <w:rPr>
          <w:rFonts w:ascii="Arial" w:hAnsi="Arial"/>
          <w:b/>
          <w:bCs/>
        </w:rPr>
        <w:t>Indicador 2 – Índice de Tempo Máximo Para Solução (TMS)</w:t>
      </w:r>
    </w:p>
    <w:p>
      <w:pPr>
        <w:pStyle w:val="Normal"/>
        <w:spacing w:lineRule="auto" w:line="276" w:before="119" w:after="0"/>
        <w:ind w:left="0" w:hanging="0"/>
        <w:rPr>
          <w:rFonts w:ascii="Tahoma" w:hAnsi="Tahoma"/>
          <w:b/>
          <w:b/>
          <w:sz w:val="18"/>
        </w:rPr>
      </w:pPr>
      <w:r>
        <w:rPr>
          <w:b/>
          <w:bCs/>
          <w:color w:val="auto"/>
          <w:szCs w:val="24"/>
        </w:rPr>
        <w:t>Fórmula de Cálculo: TMS(%)</w:t>
      </w:r>
      <w:r>
        <w:rPr>
          <w:color w:val="auto"/>
          <w:szCs w:val="24"/>
        </w:rPr>
        <w:t xml:space="preserve"> = (Quantidade de chamados atrasados </w:t>
      </w:r>
      <w:r>
        <w:rPr>
          <w:b/>
          <w:bCs/>
          <w:color w:val="auto"/>
          <w:szCs w:val="24"/>
        </w:rPr>
        <w:t>÷</w:t>
      </w:r>
      <w:r>
        <w:rPr>
          <w:color w:val="auto"/>
          <w:szCs w:val="24"/>
        </w:rPr>
        <w:t xml:space="preserve"> Quantidade total de chamados) </w:t>
      </w:r>
      <w:r>
        <w:rPr>
          <w:b/>
          <w:bCs/>
          <w:color w:val="auto"/>
          <w:szCs w:val="24"/>
        </w:rPr>
        <w:t>*</w:t>
      </w:r>
      <w:r>
        <w:rPr>
          <w:color w:val="auto"/>
          <w:szCs w:val="24"/>
        </w:rPr>
        <w:t xml:space="preserve"> 100.</w:t>
      </w:r>
    </w:p>
    <w:tbl>
      <w:tblPr>
        <w:tblW w:w="6707" w:type="dxa"/>
        <w:jc w:val="left"/>
        <w:tblInd w:w="22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163"/>
        <w:gridCol w:w="3543"/>
      </w:tblGrid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97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Quantidade de Chamados Atrasados: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71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Percentual de Chamados Atrasados: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6706" w:type="dxa"/>
        <w:jc w:val="left"/>
        <w:tblInd w:w="22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163"/>
        <w:gridCol w:w="2417"/>
        <w:gridCol w:w="1126"/>
      </w:tblGrid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97" w:right="72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TMS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7" w:right="67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Desconto no Pagamento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95" w:right="72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Resultado</w:t>
            </w:r>
          </w:p>
        </w:tc>
      </w:tr>
      <w:tr>
        <w:trPr>
          <w:trHeight w:val="252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0" w:after="116"/>
              <w:ind w:left="92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Meta ≤ 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0" w:after="116"/>
              <w:ind w:left="87" w:right="6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Sem desconto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0" w:after="116"/>
              <w:ind w:left="21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←</w:t>
            </w:r>
          </w:p>
        </w:tc>
      </w:tr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7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5% e ≤ 15%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7" w:right="60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94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15% e ≤ 25%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87" w:right="60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51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2" w:before="0" w:after="116"/>
              <w:ind w:left="94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25% e ≤ 35%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2" w:before="0" w:after="116"/>
              <w:ind w:left="87" w:right="60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94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35% e ≤ 50%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87" w:right="58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94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50% e ≤ 75%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7" w:right="58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6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116"/>
              <w:ind w:left="94" w:right="7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75%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116"/>
              <w:ind w:left="87" w:right="58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119" w:after="0"/>
        <w:ind w:left="0" w:hanging="0"/>
        <w:rPr>
          <w:b/>
          <w:b/>
          <w:bCs/>
          <w:szCs w:val="24"/>
        </w:rPr>
      </w:pPr>
      <w:r>
        <w:rPr>
          <w:b/>
          <w:bCs/>
          <w:color w:val="auto"/>
          <w:szCs w:val="24"/>
        </w:rPr>
        <w:t>Indicador 3 – Índice de Disponibilidade dos Serviços e Recursos de TIC (DISP)</w:t>
      </w:r>
    </w:p>
    <w:p>
      <w:pPr>
        <w:pStyle w:val="Normal"/>
        <w:spacing w:lineRule="auto" w:line="276" w:before="119" w:after="0"/>
        <w:ind w:left="0" w:hanging="0"/>
        <w:rPr>
          <w:b/>
          <w:b/>
          <w:bCs/>
          <w:szCs w:val="24"/>
        </w:rPr>
      </w:pPr>
      <w:r>
        <w:rPr>
          <w:b/>
          <w:bCs/>
          <w:color w:val="auto"/>
          <w:szCs w:val="24"/>
        </w:rPr>
        <w:t>Fórmula de Cálculo: DISP(%)</w:t>
      </w:r>
      <w:r>
        <w:rPr>
          <w:color w:val="auto"/>
          <w:szCs w:val="24"/>
        </w:rPr>
        <w:t xml:space="preserve"> = (Quantidade de horas em funcionamento </w:t>
      </w:r>
      <w:r>
        <w:rPr>
          <w:b/>
          <w:bCs/>
          <w:color w:val="auto"/>
          <w:szCs w:val="24"/>
        </w:rPr>
        <w:t>÷</w:t>
      </w:r>
      <w:r>
        <w:rPr>
          <w:color w:val="auto"/>
          <w:szCs w:val="24"/>
        </w:rPr>
        <w:t xml:space="preserve"> Quantidade de horas previstas) </w:t>
      </w:r>
      <w:r>
        <w:rPr>
          <w:b/>
          <w:bCs/>
          <w:color w:val="auto"/>
          <w:szCs w:val="24"/>
        </w:rPr>
        <w:t>*</w:t>
      </w:r>
      <w:r>
        <w:rPr>
          <w:color w:val="auto"/>
          <w:szCs w:val="24"/>
        </w:rPr>
        <w:t xml:space="preserve"> 100.</w:t>
      </w:r>
    </w:p>
    <w:p>
      <w:pPr>
        <w:pStyle w:val="Corpodotexto"/>
        <w:spacing w:before="1" w:after="0"/>
        <w:rPr>
          <w:rFonts w:ascii="Tahoma" w:hAnsi="Tahoma"/>
          <w:b/>
          <w:b/>
          <w:sz w:val="16"/>
        </w:rPr>
      </w:pPr>
      <w:r>
        <w:rPr>
          <w:rFonts w:ascii="Tahoma" w:hAnsi="Tahoma"/>
          <w:b/>
          <w:sz w:val="16"/>
        </w:rPr>
      </w:r>
    </w:p>
    <w:tbl>
      <w:tblPr>
        <w:tblW w:w="7078" w:type="dxa"/>
        <w:jc w:val="left"/>
        <w:tblInd w:w="204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534"/>
        <w:gridCol w:w="3543"/>
      </w:tblGrid>
      <w:tr>
        <w:trPr>
          <w:trHeight w:val="249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0" w:right="91" w:hanging="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Quantidade de Horas em Funcionamento: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0" w:right="88" w:hanging="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Quantidade de Horas em Previstas: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0" w:right="89" w:hanging="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Percentual de Disponibilidade: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before="10" w:after="0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tbl>
      <w:tblPr>
        <w:tblW w:w="7078" w:type="dxa"/>
        <w:jc w:val="left"/>
        <w:tblInd w:w="204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534"/>
        <w:gridCol w:w="2420"/>
        <w:gridCol w:w="1124"/>
      </w:tblGrid>
      <w:tr>
        <w:trPr>
          <w:trHeight w:val="249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1087" w:right="1068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DISP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92" w:right="76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Desconto no Pagamento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116"/>
              <w:ind w:left="92" w:right="74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Resultado</w:t>
            </w:r>
          </w:p>
        </w:tc>
      </w:tr>
      <w:tr>
        <w:trPr>
          <w:trHeight w:val="249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1087" w:right="1068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Meta &gt; 95%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92" w:right="71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Sem desconto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16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←</w:t>
            </w:r>
          </w:p>
        </w:tc>
      </w:tr>
      <w:tr>
        <w:trPr>
          <w:trHeight w:val="251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116"/>
              <w:ind w:left="1087" w:right="1070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&gt; 85% e ≤ 95%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116"/>
              <w:ind w:left="92" w:right="69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1086" w:right="1070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≤ </w:t>
            </w:r>
            <w:r>
              <w:rPr>
                <w:rFonts w:ascii="Tahoma" w:hAnsi="Tahoma"/>
                <w:sz w:val="18"/>
              </w:rPr>
              <w:t>85%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92" w:right="67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76" w:before="119" w:after="0"/>
        <w:ind w:left="0" w:hanging="0"/>
        <w:rPr>
          <w:rFonts w:ascii="Tahoma" w:hAnsi="Tahoma"/>
          <w:b/>
          <w:b/>
        </w:rPr>
      </w:pPr>
      <w:r>
        <w:rPr>
          <w:b/>
          <w:bCs/>
          <w:color w:val="auto"/>
          <w:szCs w:val="24"/>
        </w:rPr>
        <w:t>Indicador 4 – Índice de Satisfação dos Usuários de TIC (SUS)</w:t>
      </w:r>
    </w:p>
    <w:p>
      <w:pPr>
        <w:pStyle w:val="Normal"/>
        <w:spacing w:lineRule="auto" w:line="276" w:before="119" w:after="0"/>
        <w:ind w:left="0" w:hanging="0"/>
        <w:rPr>
          <w:rFonts w:ascii="Tahoma" w:hAnsi="Tahoma"/>
          <w:b/>
          <w:b/>
        </w:rPr>
      </w:pPr>
      <w:r>
        <w:rPr>
          <w:b/>
          <w:bCs/>
          <w:color w:val="auto"/>
          <w:szCs w:val="24"/>
        </w:rPr>
        <w:t xml:space="preserve">Fórmula de Cálculo: SUS </w:t>
      </w:r>
      <w:r>
        <w:rPr>
          <w:color w:val="auto"/>
          <w:szCs w:val="24"/>
        </w:rPr>
        <w:t>= Média Aritmética das Avaliações dos Usuários.</w:t>
      </w:r>
    </w:p>
    <w:p>
      <w:pPr>
        <w:pStyle w:val="Corpodotexto"/>
        <w:spacing w:before="2" w:after="0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tbl>
      <w:tblPr>
        <w:tblW w:w="5540" w:type="dxa"/>
        <w:jc w:val="left"/>
        <w:tblInd w:w="28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039"/>
        <w:gridCol w:w="1548"/>
        <w:gridCol w:w="953"/>
      </w:tblGrid>
      <w:tr>
        <w:trPr>
          <w:trHeight w:val="249" w:hRule="atLeast"/>
        </w:trPr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12" w:hanging="0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Quantidade de avaliações recebidas por nível de satisfação</w:t>
            </w:r>
          </w:p>
        </w:tc>
      </w:tr>
      <w:tr>
        <w:trPr>
          <w:trHeight w:val="251" w:hRule="atLeast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212" w:before="0" w:after="116"/>
              <w:ind w:left="371" w:right="347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Satisfação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212" w:before="0" w:after="116"/>
              <w:ind w:left="229" w:right="221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Quantidade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212" w:before="0" w:after="116"/>
              <w:ind w:left="175" w:right="162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(%)</w:t>
            </w:r>
          </w:p>
        </w:tc>
      </w:tr>
      <w:tr>
        <w:trPr>
          <w:trHeight w:val="273" w:hRule="atLeast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2" w:before="0" w:after="116"/>
              <w:ind w:left="371" w:right="343" w:hanging="0"/>
              <w:jc w:val="center"/>
              <w:rPr>
                <w:rFonts w:ascii="Noto Sans Symbols" w:hAnsi="Noto Sans Symbols" w:eastAsia="Noto Sans Symbols" w:cs="Noto Sans Symbols"/>
                <w:sz w:val="18"/>
                <w:szCs w:val="18"/>
              </w:rPr>
            </w:pPr>
            <w:r>
              <w:rPr>
                <w:rFonts w:eastAsia="Noto Sans Symbols" w:cs="Noto Sans Symbols" w:ascii="Noto Sans Symbols" w:hAnsi="Noto Sans Symbols"/>
                <w:w w:val="115"/>
                <w:sz w:val="18"/>
                <w:szCs w:val="18"/>
              </w:rPr>
              <w:t>⭐⭐⭐⭐⭐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0" w:after="116"/>
              <w:ind w:left="371" w:right="346" w:hanging="0"/>
              <w:jc w:val="center"/>
              <w:rPr>
                <w:rFonts w:ascii="Noto Sans Symbols" w:hAnsi="Noto Sans Symbols" w:eastAsia="Noto Sans Symbols" w:cs="Noto Sans Symbols"/>
                <w:sz w:val="18"/>
                <w:szCs w:val="18"/>
              </w:rPr>
            </w:pPr>
            <w:r>
              <w:rPr>
                <w:rFonts w:eastAsia="Noto Sans Symbols" w:cs="Noto Sans Symbols" w:ascii="Noto Sans Symbols" w:hAnsi="Noto Sans Symbols"/>
                <w:w w:val="115"/>
                <w:sz w:val="18"/>
                <w:szCs w:val="18"/>
              </w:rPr>
              <w:t>⭐⭐⭐⭐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2" w:before="0" w:after="116"/>
              <w:ind w:left="371" w:right="349" w:hanging="0"/>
              <w:jc w:val="center"/>
              <w:rPr>
                <w:rFonts w:ascii="Noto Sans Symbols" w:hAnsi="Noto Sans Symbols" w:eastAsia="Noto Sans Symbols" w:cs="Noto Sans Symbols"/>
                <w:sz w:val="18"/>
                <w:szCs w:val="18"/>
              </w:rPr>
            </w:pPr>
            <w:r>
              <w:rPr>
                <w:rFonts w:eastAsia="Noto Sans Symbols" w:cs="Noto Sans Symbols" w:ascii="Noto Sans Symbols" w:hAnsi="Noto Sans Symbols"/>
                <w:w w:val="115"/>
                <w:sz w:val="18"/>
                <w:szCs w:val="18"/>
              </w:rPr>
              <w:t>⭐⭐⭐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2" w:before="0" w:after="116"/>
              <w:ind w:left="371" w:right="347" w:hanging="0"/>
              <w:jc w:val="center"/>
              <w:rPr>
                <w:rFonts w:ascii="Noto Sans Symbols" w:hAnsi="Noto Sans Symbols" w:eastAsia="Noto Sans Symbols" w:cs="Noto Sans Symbols"/>
                <w:sz w:val="18"/>
                <w:szCs w:val="18"/>
              </w:rPr>
            </w:pPr>
            <w:r>
              <w:rPr>
                <w:rFonts w:eastAsia="Noto Sans Symbols" w:cs="Noto Sans Symbols" w:ascii="Noto Sans Symbols" w:hAnsi="Noto Sans Symbols"/>
                <w:w w:val="115"/>
                <w:sz w:val="18"/>
                <w:szCs w:val="18"/>
              </w:rPr>
              <w:t>⭐⭐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1" w:hanging="0"/>
              <w:jc w:val="center"/>
              <w:rPr>
                <w:rFonts w:ascii="Noto Sans Symbols" w:hAnsi="Noto Sans Symbols" w:eastAsia="Noto Sans Symbols" w:cs="Noto Sans Symbols"/>
                <w:sz w:val="18"/>
                <w:szCs w:val="18"/>
              </w:rPr>
            </w:pPr>
            <w:r>
              <w:rPr>
                <w:rFonts w:eastAsia="Noto Sans Symbols" w:cs="Noto Sans Symbols" w:ascii="Noto Sans Symbols" w:hAnsi="Noto Sans Symbols"/>
                <w:w w:val="114"/>
                <w:sz w:val="18"/>
                <w:szCs w:val="18"/>
              </w:rPr>
              <w:t>⭐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369" w:right="356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TOTAL DE AVALIAÇÕES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10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∑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180" w:right="162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100%</w:t>
            </w:r>
          </w:p>
        </w:tc>
      </w:tr>
      <w:tr>
        <w:trPr>
          <w:trHeight w:val="249" w:hRule="atLeast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371" w:right="356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MÉDIA DAS AVALIAÇÕES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before="1" w:after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z w:val="19"/>
        </w:rPr>
      </w:r>
    </w:p>
    <w:p>
      <w:pPr>
        <w:pStyle w:val="Corpodotexto"/>
        <w:spacing w:before="1" w:after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z w:val="19"/>
        </w:rPr>
      </w:r>
    </w:p>
    <w:tbl>
      <w:tblPr>
        <w:tblW w:w="5139" w:type="dxa"/>
        <w:jc w:val="left"/>
        <w:tblInd w:w="30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96"/>
        <w:gridCol w:w="2417"/>
        <w:gridCol w:w="1126"/>
      </w:tblGrid>
      <w:tr>
        <w:trPr>
          <w:trHeight w:val="249" w:hRule="atLeast"/>
        </w:trPr>
        <w:tc>
          <w:tcPr>
            <w:tcW w:w="159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widowControl w:val="false"/>
              <w:spacing w:before="2" w:after="0"/>
              <w:ind w:left="598" w:right="586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SUS</w:t>
            </w:r>
          </w:p>
        </w:tc>
        <w:tc>
          <w:tcPr>
            <w:tcW w:w="241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widowControl w:val="false"/>
              <w:spacing w:before="2" w:after="0"/>
              <w:ind w:left="82" w:right="72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Desconto no Pagamento</w:t>
            </w:r>
          </w:p>
        </w:tc>
        <w:tc>
          <w:tcPr>
            <w:tcW w:w="11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widowControl w:val="false"/>
              <w:spacing w:before="2" w:after="0"/>
              <w:ind w:left="95" w:right="74" w:hanging="0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Resultado</w:t>
            </w:r>
          </w:p>
        </w:tc>
      </w:tr>
      <w:tr>
        <w:trPr>
          <w:trHeight w:val="249" w:hRule="atLeast"/>
        </w:trPr>
        <w:tc>
          <w:tcPr>
            <w:tcW w:w="159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0" w:right="99" w:hanging="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Meta ≥ 4 Pontos</w:t>
            </w:r>
          </w:p>
        </w:tc>
        <w:tc>
          <w:tcPr>
            <w:tcW w:w="241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87" w:right="66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Sem desconto</w:t>
            </w:r>
          </w:p>
        </w:tc>
        <w:tc>
          <w:tcPr>
            <w:tcW w:w="11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20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←</w:t>
            </w:r>
          </w:p>
        </w:tc>
      </w:tr>
      <w:tr>
        <w:trPr>
          <w:trHeight w:val="251" w:hRule="atLeast"/>
        </w:trPr>
        <w:tc>
          <w:tcPr>
            <w:tcW w:w="159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widowControl w:val="false"/>
              <w:spacing w:before="2" w:after="0"/>
              <w:ind w:left="0" w:right="104" w:hanging="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≥ </w:t>
            </w:r>
            <w:r>
              <w:rPr>
                <w:rFonts w:ascii="Tahoma" w:hAnsi="Tahoma"/>
                <w:sz w:val="18"/>
              </w:rPr>
              <w:t>3 e &lt; 4 Pontos</w:t>
            </w:r>
          </w:p>
        </w:tc>
        <w:tc>
          <w:tcPr>
            <w:tcW w:w="241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widowControl w:val="false"/>
              <w:spacing w:before="2" w:after="0"/>
              <w:ind w:left="87" w:right="65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2%</w:t>
            </w:r>
          </w:p>
        </w:tc>
        <w:tc>
          <w:tcPr>
            <w:tcW w:w="11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159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0" w:right="104" w:hanging="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≥ </w:t>
            </w:r>
            <w:r>
              <w:rPr>
                <w:rFonts w:ascii="Tahoma" w:hAnsi="Tahoma"/>
                <w:sz w:val="18"/>
              </w:rPr>
              <w:t>2 e &lt; 3 Pontos</w:t>
            </w:r>
          </w:p>
        </w:tc>
        <w:tc>
          <w:tcPr>
            <w:tcW w:w="241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2" w:after="0"/>
              <w:ind w:left="87" w:right="65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5%</w:t>
            </w:r>
          </w:p>
        </w:tc>
        <w:tc>
          <w:tcPr>
            <w:tcW w:w="11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1596" w:type="dxa"/>
            <w:tcBorders>
              <w:top w:val="single" w:sz="4" w:space="0" w:color="BDBDBD"/>
              <w:left w:val="single" w:sz="4" w:space="0" w:color="BDBDBD"/>
              <w:bottom w:val="single" w:sz="6" w:space="0" w:color="BDBDBD"/>
              <w:right w:val="single" w:sz="4" w:space="0" w:color="BDBDBD"/>
            </w:tcBorders>
          </w:tcPr>
          <w:p>
            <w:pPr>
              <w:pStyle w:val="TableParagraph"/>
              <w:widowControl w:val="false"/>
              <w:spacing w:before="2" w:after="0"/>
              <w:ind w:left="0" w:right="104" w:hanging="0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≥ </w:t>
            </w:r>
            <w:r>
              <w:rPr>
                <w:rFonts w:ascii="Tahoma" w:hAnsi="Tahoma"/>
                <w:sz w:val="18"/>
              </w:rPr>
              <w:t>1 e &lt; 2 Pontos</w:t>
            </w:r>
          </w:p>
        </w:tc>
        <w:tc>
          <w:tcPr>
            <w:tcW w:w="2417" w:type="dxa"/>
            <w:tcBorders>
              <w:top w:val="single" w:sz="4" w:space="0" w:color="BDBDBD"/>
              <w:left w:val="single" w:sz="4" w:space="0" w:color="BDBDBD"/>
              <w:bottom w:val="single" w:sz="6" w:space="0" w:color="BDBDBD"/>
              <w:right w:val="single" w:sz="4" w:space="0" w:color="BDBDBD"/>
            </w:tcBorders>
          </w:tcPr>
          <w:p>
            <w:pPr>
              <w:pStyle w:val="TableParagraph"/>
              <w:widowControl w:val="false"/>
              <w:spacing w:before="2" w:after="0"/>
              <w:ind w:left="87" w:right="65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8%</w:t>
            </w:r>
          </w:p>
        </w:tc>
        <w:tc>
          <w:tcPr>
            <w:tcW w:w="1126" w:type="dxa"/>
            <w:tcBorders>
              <w:top w:val="single" w:sz="4" w:space="0" w:color="BDBDBD"/>
              <w:left w:val="single" w:sz="4" w:space="0" w:color="BDBDBD"/>
              <w:bottom w:val="single" w:sz="6" w:space="0" w:color="BDBDBD"/>
              <w:right w:val="single" w:sz="4" w:space="0" w:color="BDBDBD"/>
            </w:tcBorders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1596" w:type="dxa"/>
            <w:tcBorders>
              <w:top w:val="single" w:sz="6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400" w:hanging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&lt; 1 Ponto</w:t>
            </w:r>
          </w:p>
        </w:tc>
        <w:tc>
          <w:tcPr>
            <w:tcW w:w="2417" w:type="dxa"/>
            <w:tcBorders>
              <w:top w:val="single" w:sz="6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0" w:before="0" w:after="116"/>
              <w:ind w:left="87" w:right="62" w:hanging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10%</w:t>
            </w:r>
          </w:p>
        </w:tc>
        <w:tc>
          <w:tcPr>
            <w:tcW w:w="1126" w:type="dxa"/>
            <w:tcBorders>
              <w:top w:val="single" w:sz="6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0" w:after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widowControl/>
        <w:spacing w:lineRule="auto" w:line="276" w:before="10" w:after="0"/>
        <w:jc w:val="both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p>
      <w:pPr>
        <w:pStyle w:val="Normal"/>
        <w:spacing w:lineRule="auto" w:line="276" w:before="119" w:after="0"/>
        <w:ind w:left="0" w:hanging="0"/>
        <w:rPr>
          <w:rFonts w:ascii="Tahoma" w:hAnsi="Tahoma"/>
          <w:b/>
          <w:b/>
          <w:sz w:val="18"/>
        </w:rPr>
      </w:pPr>
      <w:r>
        <w:rPr>
          <w:b/>
          <w:bCs/>
          <w:color w:val="auto"/>
          <w:szCs w:val="24"/>
        </w:rPr>
        <w:t>4. Índice de Glosa Mensal e Valor Corrigido de Fatura Mensal</w:t>
      </w:r>
    </w:p>
    <w:p>
      <w:pPr>
        <w:pStyle w:val="Normal"/>
        <w:spacing w:lineRule="auto" w:line="276" w:before="119" w:after="0"/>
        <w:ind w:left="0" w:hanging="0"/>
        <w:rPr>
          <w:szCs w:val="24"/>
        </w:rPr>
      </w:pPr>
      <w:r>
        <w:rPr>
          <w:szCs w:val="24"/>
        </w:rPr>
        <w:t xml:space="preserve">Para efeito de eventual glosa de pagamento da parcela contratual mensal, define-se o </w:t>
      </w:r>
      <w:r>
        <w:rPr>
          <w:b/>
          <w:bCs/>
          <w:szCs w:val="24"/>
        </w:rPr>
        <w:t>IGM</w:t>
      </w:r>
      <w:r>
        <w:rPr>
          <w:szCs w:val="24"/>
        </w:rPr>
        <w:t xml:space="preserve"> (Índice de Glosa Mensal), que é a soma dos descontos gerados pelos indicadores de desempenho:</w:t>
      </w:r>
    </w:p>
    <w:p>
      <w:pPr>
        <w:pStyle w:val="Normal"/>
        <w:spacing w:lineRule="auto" w:line="276" w:before="119" w:after="0"/>
        <w:ind w:left="0" w:hanging="0"/>
        <w:jc w:val="center"/>
        <w:rPr>
          <w:rFonts w:ascii="Tahoma" w:hAnsi="Tahoma"/>
          <w:b/>
          <w:b/>
          <w:sz w:val="18"/>
        </w:rPr>
      </w:pPr>
      <w:r>
        <w:rPr>
          <w:b/>
          <w:bCs/>
          <w:color w:val="auto"/>
          <w:szCs w:val="24"/>
        </w:rPr>
        <w:t>IGM (%) = (TIA + TMS + DISP + SUS)</w:t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p>
      <w:pPr>
        <w:pStyle w:val="Normal"/>
        <w:spacing w:lineRule="auto" w:line="276" w:before="119" w:after="0"/>
        <w:ind w:left="0" w:hanging="0"/>
        <w:rPr>
          <w:szCs w:val="24"/>
        </w:rPr>
      </w:pPr>
      <w:r>
        <w:rPr>
          <w:szCs w:val="24"/>
        </w:rPr>
        <w:t xml:space="preserve">Por fim, o </w:t>
      </w:r>
      <w:r>
        <w:rPr>
          <w:b/>
          <w:bCs/>
          <w:szCs w:val="24"/>
        </w:rPr>
        <w:t>Valor a ser Corrigido na Fatura Mensal (VCFM)</w:t>
      </w:r>
      <w:r>
        <w:rPr>
          <w:szCs w:val="24"/>
        </w:rPr>
        <w:t xml:space="preserve"> corresponde ao resultado do </w:t>
      </w:r>
      <w:r>
        <w:rPr>
          <w:b/>
          <w:bCs/>
          <w:szCs w:val="24"/>
        </w:rPr>
        <w:t>Índice de Glosa Mensal (IGM)</w:t>
      </w:r>
      <w:r>
        <w:rPr>
          <w:szCs w:val="24"/>
        </w:rPr>
        <w:t xml:space="preserve"> aplicado ao </w:t>
      </w:r>
      <w:r>
        <w:rPr>
          <w:b/>
          <w:bCs/>
          <w:szCs w:val="24"/>
        </w:rPr>
        <w:t>Valor Fixo Mensal (VFM)</w:t>
      </w:r>
      <w:r>
        <w:rPr>
          <w:szCs w:val="24"/>
        </w:rPr>
        <w:t>, conforme fórmula a seguir:</w:t>
      </w:r>
    </w:p>
    <w:p>
      <w:pPr>
        <w:pStyle w:val="Normal"/>
        <w:spacing w:lineRule="auto" w:line="276" w:before="119" w:after="0"/>
        <w:ind w:left="0" w:hanging="0"/>
        <w:jc w:val="center"/>
        <w:rPr>
          <w:rFonts w:ascii="Tahoma" w:hAnsi="Tahoma"/>
          <w:b/>
          <w:b/>
          <w:sz w:val="18"/>
        </w:rPr>
      </w:pPr>
      <w:r>
        <w:rPr>
          <w:b/>
          <w:bCs/>
          <w:color w:val="auto"/>
          <w:szCs w:val="24"/>
        </w:rPr>
        <w:t>VCFM (R$) = VFM (R$) * IGM (%)</w:t>
      </w:r>
    </w:p>
    <w:p>
      <w:pPr>
        <w:pStyle w:val="Normal"/>
        <w:spacing w:lineRule="auto" w:line="276" w:before="119" w:after="0"/>
        <w:ind w:left="0" w:hanging="0"/>
        <w:jc w:val="center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b/>
          <w:bCs/>
          <w:color w:val="auto"/>
          <w:szCs w:val="24"/>
        </w:rPr>
        <w:t>5. Resultado</w:t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tbl>
      <w:tblPr>
        <w:tblW w:w="9075" w:type="dxa"/>
        <w:jc w:val="left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10"/>
        <w:gridCol w:w="3464"/>
      </w:tblGrid>
      <w:tr>
        <w:trPr>
          <w:tblHeader w:val="true"/>
        </w:trPr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19" w:after="0"/>
              <w:ind w:left="0" w:hanging="0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Valor Fixo Mensal (R$):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Contedodatabela"/>
              <w:widowControl w:val="false"/>
              <w:spacing w:before="0" w:after="116"/>
              <w:ind w:left="1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19" w:after="0"/>
              <w:ind w:left="0" w:hanging="0"/>
              <w:jc w:val="right"/>
              <w:rPr>
                <w:rFonts w:ascii="Tahoma" w:hAnsi="Tahoma"/>
                <w:b/>
                <w:b/>
                <w:sz w:val="18"/>
              </w:rPr>
            </w:pPr>
            <w:r>
              <w:rPr>
                <w:b/>
                <w:bCs/>
                <w:color w:val="auto"/>
                <w:szCs w:val="24"/>
              </w:rPr>
              <w:t>Índice de Glosa Mensal (%):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Contedodatabela"/>
              <w:widowControl w:val="false"/>
              <w:spacing w:before="0" w:after="11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19" w:after="0"/>
              <w:ind w:left="0" w:hanging="0"/>
              <w:jc w:val="right"/>
              <w:rPr>
                <w:rFonts w:ascii="Tahoma" w:hAnsi="Tahoma"/>
                <w:b/>
                <w:b/>
                <w:sz w:val="18"/>
              </w:rPr>
            </w:pPr>
            <w:r>
              <w:rPr>
                <w:b/>
                <w:bCs/>
                <w:color w:val="auto"/>
                <w:szCs w:val="24"/>
              </w:rPr>
              <w:t>Valor a ser deduzido na Fatura Mensal (R$):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Contedodatabela"/>
              <w:widowControl w:val="false"/>
              <w:spacing w:before="0" w:after="116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b/>
          <w:bCs/>
          <w:color w:val="auto"/>
          <w:szCs w:val="24"/>
        </w:rPr>
        <w:tab/>
        <w:tab/>
        <w:t>VALOR A SER PAGO (R$):</w:t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b/>
          <w:bCs/>
          <w:color w:val="auto"/>
          <w:szCs w:val="24"/>
        </w:rPr>
        <w:t>6. Informações Gerais</w:t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color w:val="auto"/>
          <w:szCs w:val="24"/>
        </w:rPr>
        <w:t>A soma total das glosas aplicadas em função do não atendimento dos níveis mínimos de serviço e dos indicadores mínimos de desempenho, não deverá ser superior a 30% (trinta por cento) do faturamento mensal máximo. Caso seja superado este limite, aplicar-se-á a glosa máxima permitida.</w:t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color w:val="auto"/>
          <w:szCs w:val="24"/>
        </w:rPr>
        <w:t>Caso seja identificada a necessidade de aplicação de Glosa, a CONTRATADA poderá, a seu critério, apresentar justificativas à CONTRATANTE dentro de um prazo de cinco dias úteis, contados a partir da data do fechamento da avaliação dos indicadores. Caberá ao CONTRATANTE avaliá-las no prazo de cinco dias úteis.</w:t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color w:val="auto"/>
          <w:szCs w:val="24"/>
        </w:rPr>
        <w:t>A aceitação ou a recusa das justificativas deverá ser formalizada pelo Gestor de Contrato ou qualquer membro da equipe de fiscalização.</w:t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>
          <w:color w:val="auto"/>
          <w:szCs w:val="24"/>
        </w:rPr>
        <w:t>A aplicação de glosa no pagamento por descumprimento dos Níveis Mínimos de Serviço não exime a CONTRATADA de outras sanções estabelecidas no Termo de Referência e no contrato.</w:t>
      </w:r>
    </w:p>
    <w:p>
      <w:pPr>
        <w:pStyle w:val="Normal"/>
        <w:spacing w:lineRule="auto" w:line="276" w:before="119" w:after="0"/>
        <w:ind w:left="0" w:hanging="0"/>
        <w:jc w:val="left"/>
        <w:rPr>
          <w:rFonts w:ascii="Tahoma" w:hAnsi="Tahoma"/>
          <w:b/>
          <w:b/>
          <w:sz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709" w:top="1531" w:footer="709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pranq eco sans">
    <w:charset w:val="00"/>
    <w:family w:val="roman"/>
    <w:pitch w:val="variable"/>
  </w:font>
  <w:font w:name="Tahoma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9606000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5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5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233e3d"/>
    <w:rPr>
      <w:rFonts w:ascii="Cambria" w:hAnsi="Cambria" w:eastAsia="MS Mincho" w:cs="Cambria"/>
      <w:sz w:val="24"/>
      <w:szCs w:val="24"/>
      <w:lang w:eastAsia="ar-SA"/>
    </w:rPr>
  </w:style>
  <w:style w:type="character" w:styleId="Strong">
    <w:name w:val="Strong"/>
    <w:uiPriority w:val="22"/>
    <w:qFormat/>
    <w:rsid w:val="00233e3d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link w:val="CorpodetextoChar"/>
    <w:rsid w:val="00233e3d"/>
    <w:pPr>
      <w:widowControl w:val="false"/>
      <w:spacing w:lineRule="auto" w:line="240" w:before="0" w:after="120"/>
      <w:ind w:left="0" w:hanging="0"/>
      <w:jc w:val="left"/>
    </w:pPr>
    <w:rPr>
      <w:rFonts w:ascii="Cambria" w:hAnsi="Cambria" w:eastAsia="MS Mincho" w:cs="Cambria"/>
      <w:color w:val="auto"/>
      <w:szCs w:val="24"/>
      <w:lang w:eastAsia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233e3d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Standard" w:customStyle="1">
    <w:name w:val="Standard"/>
    <w:qFormat/>
    <w:rsid w:val="00233e3d"/>
    <w:pPr>
      <w:widowControl/>
      <w:suppressAutoHyphens w:val="true"/>
      <w:bidi w:val="0"/>
      <w:spacing w:before="0" w:after="0"/>
      <w:jc w:val="both"/>
      <w:textAlignment w:val="baseline"/>
    </w:pPr>
    <w:rPr>
      <w:rFonts w:ascii="Spranq eco sans" w:hAnsi="Spranq eco sans" w:eastAsia="Arial" w:cs="Times New Roman"/>
      <w:color w:val="auto"/>
      <w:kern w:val="2"/>
      <w:sz w:val="24"/>
      <w:szCs w:val="20"/>
      <w:lang w:eastAsia="ar-SA" w:val="pt-BR" w:bidi="ar-SA"/>
    </w:rPr>
  </w:style>
  <w:style w:type="paragraph" w:styleId="Captulo" w:customStyle="1">
    <w:name w:val="Capítulo"/>
    <w:basedOn w:val="Normal"/>
    <w:next w:val="Corpodotexto"/>
    <w:qFormat/>
    <w:rsid w:val="00233e3d"/>
    <w:pPr>
      <w:keepNext w:val="true"/>
      <w:spacing w:lineRule="auto" w:line="240" w:before="240" w:after="120"/>
      <w:ind w:left="0" w:hanging="0"/>
    </w:pPr>
    <w:rPr>
      <w:rFonts w:eastAsia="Lucida Sans Unicode" w:cs="Tahoma"/>
      <w:color w:val="auto"/>
      <w:sz w:val="28"/>
      <w:szCs w:val="28"/>
    </w:rPr>
  </w:style>
  <w:style w:type="paragraph" w:styleId="Corpodetexto31" w:customStyle="1">
    <w:name w:val="Corpo de texto 31"/>
    <w:basedOn w:val="Normal"/>
    <w:qFormat/>
    <w:rsid w:val="00233e3d"/>
    <w:pPr>
      <w:spacing w:lineRule="auto" w:line="240" w:before="0" w:after="0"/>
      <w:ind w:left="0" w:hanging="0"/>
    </w:pPr>
    <w:rPr>
      <w:rFonts w:eastAsia="Times New Roman"/>
      <w:color w:val="auto"/>
      <w:szCs w:val="20"/>
      <w:lang w:val="pt-PT" w:eastAsia="ar-SA"/>
    </w:rPr>
  </w:style>
  <w:style w:type="paragraph" w:styleId="TableParagraph" w:customStyle="1">
    <w:name w:val="Table Paragraph"/>
    <w:basedOn w:val="Normal"/>
    <w:qFormat/>
    <w:pPr/>
    <w:rPr>
      <w:lang w:val="pt-PT" w:eastAsia="en-US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LibreOffice/7.1.3.2$Windows_X86_64 LibreOffice_project/47f78053abe362b9384784d31a6e56f8511eb1c1</Application>
  <AppVersion>15.0000</AppVersion>
  <Pages>7</Pages>
  <Words>973</Words>
  <Characters>4929</Characters>
  <CharactersWithSpaces>5769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>user</cp:lastModifiedBy>
  <cp:lastPrinted>2017-08-22T18:56:00Z</cp:lastPrinted>
  <dcterms:modified xsi:type="dcterms:W3CDTF">2022-09-26T17:00:00Z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