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20"/>
        <w:ind w:right="-15" w:hanging="0"/>
        <w:jc w:val="center"/>
        <w:rPr>
          <w:rFonts w:cs="Arial"/>
          <w:b/>
          <w:b/>
          <w:bCs/>
          <w:color w:val="000000"/>
          <w:szCs w:val="20"/>
        </w:rPr>
      </w:pPr>
      <w:r>
        <w:rPr>
          <w:rFonts w:cs="Arial"/>
          <w:b/>
          <w:bCs/>
          <w:color w:val="000000"/>
          <w:szCs w:val="20"/>
        </w:rPr>
        <w:t xml:space="preserve">ANEXO I - </w:t>
      </w:r>
      <w:r>
        <w:rPr>
          <w:rFonts w:cs="Arial"/>
          <w:b/>
          <w:bCs/>
          <w:color w:val="000000"/>
          <w:szCs w:val="20"/>
        </w:rPr>
        <w:t>TERMO DE REFERÊNCIA</w:t>
      </w:r>
    </w:p>
    <w:p>
      <w:pPr>
        <w:pStyle w:val="Normal"/>
        <w:spacing w:lineRule="auto" w:line="276" w:before="0" w:after="120"/>
        <w:ind w:right="-15" w:hanging="0"/>
        <w:rPr>
          <w:rFonts w:cs="Arial"/>
          <w:bCs/>
          <w:iCs/>
          <w:szCs w:val="20"/>
          <w:lang w:val="x-none"/>
        </w:rPr>
      </w:pPr>
      <w:r>
        <w:rPr>
          <w:rFonts w:cs="Arial"/>
          <w:bCs/>
          <w:iCs/>
          <w:szCs w:val="20"/>
          <w:lang w:val="x-none"/>
        </w:rPr>
      </w:r>
    </w:p>
    <w:p>
      <w:pPr>
        <w:pStyle w:val="Normal"/>
        <w:jc w:val="center"/>
        <w:rPr>
          <w:rFonts w:cs="Arial"/>
          <w:b/>
          <w:b/>
          <w:bCs/>
          <w:szCs w:val="20"/>
        </w:rPr>
      </w:pPr>
      <w:r>
        <w:rPr>
          <w:rFonts w:cs="Arial"/>
          <w:b/>
          <w:bCs/>
          <w:szCs w:val="20"/>
        </w:rPr>
        <w:t xml:space="preserve">CONSELHO DE ARQUITETURA E URBANISMO DO PARANÁ </w:t>
      </w:r>
    </w:p>
    <w:p>
      <w:pPr>
        <w:pStyle w:val="Normal"/>
        <w:jc w:val="center"/>
        <w:rPr>
          <w:rFonts w:cs="Arial"/>
          <w:bCs/>
          <w:color w:val="000000"/>
          <w:szCs w:val="20"/>
        </w:rPr>
      </w:pPr>
      <w:r>
        <w:rPr>
          <w:rFonts w:cs="Arial"/>
          <w:b/>
          <w:bCs/>
          <w:color w:val="000000"/>
          <w:szCs w:val="20"/>
        </w:rPr>
        <w:t>Pregão n.º:</w:t>
      </w:r>
      <w:r>
        <w:rPr>
          <w:rFonts w:cs="Arial"/>
          <w:bCs/>
          <w:color w:val="000000"/>
          <w:szCs w:val="20"/>
        </w:rPr>
        <w:t xml:space="preserve"> 06/2021</w:t>
      </w:r>
    </w:p>
    <w:p>
      <w:pPr>
        <w:pStyle w:val="Normal"/>
        <w:jc w:val="center"/>
        <w:rPr/>
      </w:pPr>
      <w:r>
        <w:rPr>
          <w:rFonts w:cs="Arial"/>
          <w:b/>
          <w:bCs/>
          <w:color w:val="000000"/>
          <w:szCs w:val="20"/>
        </w:rPr>
        <w:t>Processo Administrativo n.°:</w:t>
      </w:r>
      <w:r>
        <w:rPr>
          <w:rFonts w:cs="Arial"/>
          <w:bCs/>
          <w:color w:val="000000"/>
          <w:szCs w:val="20"/>
        </w:rPr>
        <w:t xml:space="preserve"> </w:t>
      </w:r>
      <w:r>
        <w:rPr/>
        <w:t>2021/ADM/08.0101-00</w:t>
      </w:r>
    </w:p>
    <w:p>
      <w:pPr>
        <w:pStyle w:val="Normal"/>
        <w:jc w:val="center"/>
        <w:rPr/>
      </w:pPr>
      <w:r>
        <w:rPr>
          <w:b/>
        </w:rPr>
        <w:t>SICCAU n.º:</w:t>
      </w:r>
      <w:r>
        <w:rPr/>
        <w:t xml:space="preserve"> 1367232/2021 </w:t>
      </w:r>
    </w:p>
    <w:p>
      <w:pPr>
        <w:pStyle w:val="Normal"/>
        <w:jc w:val="center"/>
        <w:rPr>
          <w:rFonts w:cs="Arial"/>
          <w:bCs/>
          <w:color w:val="000000"/>
          <w:szCs w:val="20"/>
        </w:rPr>
      </w:pPr>
      <w:r>
        <w:rPr>
          <w:b/>
        </w:rPr>
        <w:t>UASG:</w:t>
      </w:r>
      <w:r>
        <w:rPr/>
        <w:t xml:space="preserve"> 928257</w:t>
      </w:r>
    </w:p>
    <w:p>
      <w:pPr>
        <w:pStyle w:val="Nivel1"/>
        <w:numPr>
          <w:ilvl w:val="0"/>
          <w:numId w:val="2"/>
        </w:numPr>
        <w:rPr>
          <w:rFonts w:cs="Arial"/>
        </w:rPr>
      </w:pPr>
      <w:r>
        <w:rPr>
          <w:rFonts w:cs="Arial"/>
        </w:rPr>
        <w:t>DO OBJETO</w:t>
      </w:r>
    </w:p>
    <w:p>
      <w:pPr>
        <w:pStyle w:val="Normal"/>
        <w:numPr>
          <w:ilvl w:val="1"/>
          <w:numId w:val="2"/>
        </w:numPr>
        <w:spacing w:lineRule="auto" w:line="276" w:before="120" w:after="120"/>
        <w:jc w:val="both"/>
        <w:rPr>
          <w:rFonts w:cs="Arial"/>
          <w:szCs w:val="20"/>
        </w:rPr>
      </w:pPr>
      <w:r>
        <w:rPr>
          <w:rFonts w:cs="Arial"/>
          <w:szCs w:val="20"/>
        </w:rPr>
        <w:t>Contratação, por meio de Sistema de Registro de Preços (SRP) de empresa especializada para prestação de serviços de telecomunicações na modalidade Serviço Móvel Pessoal – SMP, conforme condições, quantidades e exigências estabelecidas neste instrumento e seus anexos:</w:t>
      </w:r>
    </w:p>
    <w:p>
      <w:pPr>
        <w:pStyle w:val="Normal"/>
        <w:spacing w:lineRule="auto" w:line="276" w:before="120" w:after="120"/>
        <w:ind w:left="716" w:hanging="0"/>
        <w:jc w:val="both"/>
        <w:rPr>
          <w:rFonts w:cs="Arial"/>
          <w:szCs w:val="20"/>
        </w:rPr>
      </w:pPr>
      <w:r>
        <w:rPr>
          <w:rFonts w:cs="Arial"/>
          <w:szCs w:val="20"/>
        </w:rPr>
      </w:r>
    </w:p>
    <w:tbl>
      <w:tblPr>
        <w:tblW w:w="9243"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51"/>
        <w:gridCol w:w="5982"/>
        <w:gridCol w:w="1061"/>
        <w:gridCol w:w="1348"/>
      </w:tblGrid>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Arial"/>
                <w:b/>
                <w:b/>
                <w:bCs/>
                <w:szCs w:val="20"/>
              </w:rPr>
            </w:pPr>
            <w:r>
              <w:rPr>
                <w:rFonts w:cs="Arial"/>
                <w:b/>
                <w:bCs/>
                <w:szCs w:val="20"/>
              </w:rPr>
              <w:t>ITEM</w:t>
            </w:r>
          </w:p>
          <w:p>
            <w:pPr>
              <w:pStyle w:val="Normal"/>
              <w:widowControl w:val="false"/>
              <w:suppressAutoHyphens w:val="true"/>
              <w:jc w:val="center"/>
              <w:rPr>
                <w:rFonts w:cs="Arial"/>
                <w:b/>
                <w:b/>
                <w:szCs w:val="20"/>
              </w:rPr>
            </w:pPr>
            <w:r>
              <w:rPr>
                <w:rFonts w:cs="Arial"/>
                <w:b/>
                <w:szCs w:val="20"/>
              </w:rPr>
            </w:r>
          </w:p>
        </w:tc>
        <w:tc>
          <w:tcPr>
            <w:tcW w:w="5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Arial"/>
                <w:b/>
                <w:b/>
                <w:bCs/>
                <w:szCs w:val="20"/>
              </w:rPr>
            </w:pPr>
            <w:r>
              <w:rPr>
                <w:rFonts w:cs="Arial"/>
                <w:b/>
                <w:bCs/>
                <w:szCs w:val="20"/>
              </w:rPr>
              <w:t>DESCRIÇÃO/</w:t>
            </w:r>
          </w:p>
          <w:p>
            <w:pPr>
              <w:pStyle w:val="Normal"/>
              <w:widowControl w:val="false"/>
              <w:suppressAutoHyphens w:val="true"/>
              <w:jc w:val="center"/>
              <w:rPr>
                <w:rFonts w:cs="Arial"/>
                <w:b/>
                <w:b/>
                <w:szCs w:val="20"/>
              </w:rPr>
            </w:pPr>
            <w:r>
              <w:rPr>
                <w:rFonts w:cs="Arial"/>
                <w:b/>
                <w:bCs/>
                <w:szCs w:val="20"/>
              </w:rPr>
              <w:t>ESPECIFICAÇÃO</w:t>
            </w:r>
          </w:p>
        </w:tc>
        <w:tc>
          <w:tcPr>
            <w:tcW w:w="10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Arial"/>
                <w:b/>
                <w:b/>
                <w:bCs/>
                <w:szCs w:val="20"/>
              </w:rPr>
            </w:pPr>
            <w:r>
              <w:rPr>
                <w:rFonts w:cs="Arial"/>
                <w:b/>
                <w:bCs/>
                <w:szCs w:val="20"/>
              </w:rPr>
              <w:t>Unidade de Medida</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Arial"/>
                <w:b/>
                <w:b/>
                <w:bCs/>
                <w:szCs w:val="20"/>
              </w:rPr>
            </w:pPr>
            <w:r>
              <w:rPr>
                <w:rFonts w:cs="Arial"/>
                <w:b/>
                <w:bCs/>
                <w:szCs w:val="20"/>
              </w:rPr>
              <w:t>Quantidade</w:t>
            </w:r>
          </w:p>
        </w:tc>
      </w:tr>
      <w:tr>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120"/>
              <w:jc w:val="center"/>
              <w:rPr>
                <w:rFonts w:cs="Arial"/>
                <w:szCs w:val="20"/>
              </w:rPr>
            </w:pPr>
            <w:r>
              <w:rPr>
                <w:rFonts w:cs="Arial"/>
                <w:szCs w:val="20"/>
              </w:rPr>
              <w:t>1</w:t>
            </w:r>
          </w:p>
        </w:tc>
        <w:tc>
          <w:tcPr>
            <w:tcW w:w="59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szCs w:val="20"/>
              </w:rPr>
            </w:pPr>
            <w:r>
              <w:rPr/>
              <w:t>Assinatura mensal de linha de voz (SMP), com ligações locais (VC1), LDN (VC2 e VC3), envio de SMSs e MMSs ilimitados, acesso à caixa postal / secretária eletrônica ilimitado, e franquia mínima de dados de 20GB. (valor fixo ao mês)</w:t>
            </w:r>
          </w:p>
        </w:tc>
        <w:tc>
          <w:tcPr>
            <w:tcW w:w="10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120"/>
              <w:jc w:val="center"/>
              <w:rPr>
                <w:rFonts w:cs="Arial"/>
                <w:szCs w:val="20"/>
              </w:rPr>
            </w:pPr>
            <w:r>
              <w:rPr>
                <w:rFonts w:cs="Arial"/>
                <w:szCs w:val="20"/>
              </w:rPr>
              <w:t>UNID</w:t>
            </w:r>
          </w:p>
        </w:tc>
        <w:tc>
          <w:tcPr>
            <w:tcW w:w="13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120"/>
              <w:jc w:val="center"/>
              <w:rPr>
                <w:rFonts w:cs="Arial"/>
                <w:szCs w:val="20"/>
              </w:rPr>
            </w:pPr>
            <w:r>
              <w:rPr>
                <w:rFonts w:cs="Arial"/>
                <w:szCs w:val="20"/>
              </w:rPr>
              <w:t>15</w:t>
            </w:r>
          </w:p>
        </w:tc>
      </w:tr>
      <w:tr>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120"/>
              <w:jc w:val="center"/>
              <w:rPr>
                <w:rFonts w:cs="Arial"/>
                <w:szCs w:val="20"/>
              </w:rPr>
            </w:pPr>
            <w:r>
              <w:rPr>
                <w:rFonts w:cs="Arial"/>
                <w:szCs w:val="20"/>
              </w:rPr>
              <w:t>2</w:t>
            </w:r>
          </w:p>
        </w:tc>
        <w:tc>
          <w:tcPr>
            <w:tcW w:w="59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szCs w:val="20"/>
              </w:rPr>
            </w:pPr>
            <w:r>
              <w:rPr/>
              <w:t xml:space="preserve">Assinatura mensal de linha de voz (SMP), com ligações locais (VC1), LDN (VC2 e VC3), envio de SMSs e MMSs ilimitados, acesso à caixa postal / secretária eletrônica ilimitado, e franquia mínima de dados de 20GB </w:t>
            </w:r>
            <w:r>
              <w:rPr>
                <w:b/>
                <w:bCs/>
                <w:u w:val="single"/>
              </w:rPr>
              <w:t>com fornecimento de smartphone</w:t>
            </w:r>
            <w:r>
              <w:rPr/>
              <w:t>. (valor fixo ao mês)</w:t>
            </w:r>
          </w:p>
        </w:tc>
        <w:tc>
          <w:tcPr>
            <w:tcW w:w="10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120"/>
              <w:jc w:val="center"/>
              <w:rPr>
                <w:rFonts w:cs="Arial"/>
                <w:szCs w:val="20"/>
              </w:rPr>
            </w:pPr>
            <w:r>
              <w:rPr>
                <w:rFonts w:cs="Arial"/>
                <w:szCs w:val="20"/>
              </w:rPr>
              <w:t>UNID</w:t>
            </w:r>
          </w:p>
        </w:tc>
        <w:tc>
          <w:tcPr>
            <w:tcW w:w="13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120"/>
              <w:jc w:val="center"/>
              <w:rPr>
                <w:rFonts w:cs="Arial"/>
                <w:szCs w:val="20"/>
              </w:rPr>
            </w:pPr>
            <w:r>
              <w:rPr>
                <w:rFonts w:cs="Arial"/>
                <w:szCs w:val="20"/>
              </w:rPr>
              <w:t>15</w:t>
            </w:r>
          </w:p>
        </w:tc>
      </w:tr>
    </w:tbl>
    <w:p>
      <w:pPr>
        <w:pStyle w:val="Normal"/>
        <w:spacing w:lineRule="auto" w:line="276" w:before="0" w:after="120"/>
        <w:jc w:val="both"/>
        <w:rPr>
          <w:rFonts w:cs="Arial"/>
          <w:color w:val="000000"/>
          <w:szCs w:val="20"/>
        </w:rPr>
      </w:pPr>
      <w:r>
        <w:rPr>
          <w:rFonts w:cs="Arial"/>
          <w:color w:val="000000"/>
          <w:szCs w:val="20"/>
        </w:rPr>
      </w:r>
    </w:p>
    <w:p>
      <w:pPr>
        <w:pStyle w:val="Normal"/>
        <w:numPr>
          <w:ilvl w:val="1"/>
          <w:numId w:val="2"/>
        </w:numPr>
        <w:spacing w:lineRule="auto" w:line="276" w:before="120" w:after="120"/>
        <w:jc w:val="both"/>
        <w:rPr>
          <w:rFonts w:cs="Arial"/>
          <w:i/>
          <w:i/>
          <w:szCs w:val="20"/>
        </w:rPr>
      </w:pPr>
      <w:r>
        <w:rPr>
          <w:rFonts w:cs="Arial"/>
          <w:szCs w:val="20"/>
        </w:rPr>
        <w:t>O objeto da licitação tem a natureza de serviço comum de prestação de serviços de telecomunicações.</w:t>
      </w:r>
    </w:p>
    <w:p>
      <w:pPr>
        <w:pStyle w:val="Normal"/>
        <w:numPr>
          <w:ilvl w:val="1"/>
          <w:numId w:val="2"/>
        </w:numPr>
        <w:spacing w:lineRule="auto" w:line="276" w:before="120" w:after="120"/>
        <w:jc w:val="both"/>
        <w:rPr>
          <w:rFonts w:cs="Arial"/>
          <w:i/>
          <w:i/>
          <w:szCs w:val="20"/>
        </w:rPr>
      </w:pPr>
      <w:r>
        <w:rPr>
          <w:rFonts w:cs="Arial"/>
          <w:szCs w:val="20"/>
        </w:rPr>
        <w:t>Os quantitativos e respectivos códigos dos itens são os discriminados na tabela acima.</w:t>
      </w:r>
    </w:p>
    <w:p>
      <w:pPr>
        <w:pStyle w:val="Normal"/>
        <w:numPr>
          <w:ilvl w:val="1"/>
          <w:numId w:val="2"/>
        </w:numPr>
        <w:spacing w:lineRule="auto" w:line="276" w:before="120" w:after="120"/>
        <w:jc w:val="both"/>
        <w:rPr>
          <w:rFonts w:cs="Arial"/>
          <w:szCs w:val="20"/>
        </w:rPr>
      </w:pPr>
      <w:r>
        <w:rPr>
          <w:rFonts w:cs="Arial"/>
          <w:szCs w:val="20"/>
        </w:rPr>
        <w:t>A presente contratação adotará como regime de execução a Empreitada por Preço Unitário.</w:t>
      </w:r>
    </w:p>
    <w:p>
      <w:pPr>
        <w:pStyle w:val="Normal"/>
        <w:numPr>
          <w:ilvl w:val="1"/>
          <w:numId w:val="2"/>
        </w:numPr>
        <w:spacing w:lineRule="auto" w:line="276" w:before="120" w:after="120"/>
        <w:jc w:val="both"/>
        <w:rPr>
          <w:rFonts w:cs="Arial"/>
          <w:szCs w:val="20"/>
        </w:rPr>
      </w:pPr>
      <w:r>
        <w:rPr>
          <w:rFonts w:cs="Times New Roman"/>
          <w:szCs w:val="20"/>
        </w:rPr>
        <w:t xml:space="preserve">O prazo de vigência do contrato é de </w:t>
      </w:r>
      <w:r>
        <w:rPr>
          <w:rFonts w:cs="Times New Roman"/>
          <w:b/>
          <w:szCs w:val="20"/>
        </w:rPr>
        <w:t>12 (doze) meses para o ITEM 01</w:t>
      </w:r>
      <w:r>
        <w:rPr>
          <w:rFonts w:cs="Times New Roman"/>
          <w:szCs w:val="20"/>
        </w:rPr>
        <w:t xml:space="preserve"> (Assinatura Mensal de Linha de Voz SMP sem fornecimento de aparelho) e </w:t>
      </w:r>
      <w:r>
        <w:rPr>
          <w:rFonts w:cs="Times New Roman"/>
          <w:b/>
          <w:szCs w:val="20"/>
        </w:rPr>
        <w:t>30 (trinta) meses para o ITEM 02</w:t>
      </w:r>
      <w:r>
        <w:rPr>
          <w:rFonts w:cs="Times New Roman"/>
          <w:szCs w:val="20"/>
        </w:rPr>
        <w:t xml:space="preserve"> (Assinatura Mensal de Linha de Voz SMP </w:t>
      </w:r>
      <w:r>
        <w:rPr>
          <w:rFonts w:cs="Times New Roman"/>
          <w:szCs w:val="20"/>
          <w:u w:val="single"/>
        </w:rPr>
        <w:t>com fornecimento de aparelho</w:t>
      </w:r>
      <w:r>
        <w:rPr>
          <w:rFonts w:cs="Times New Roman"/>
          <w:szCs w:val="20"/>
        </w:rPr>
        <w:t xml:space="preserve">), podendo ser prorrogado por interesse das partes </w:t>
      </w:r>
      <w:r>
        <w:rPr>
          <w:rFonts w:cs="Times New Roman"/>
          <w:b/>
          <w:szCs w:val="20"/>
        </w:rPr>
        <w:t>até o limite de 60 (sessenta) meses</w:t>
      </w:r>
      <w:r>
        <w:rPr>
          <w:rFonts w:cs="Times New Roman"/>
          <w:szCs w:val="20"/>
        </w:rPr>
        <w:t>, com base no artigo 57, II, da Lei 8.666, de 1993</w:t>
      </w:r>
      <w:r>
        <w:rPr>
          <w:rFonts w:cs="Arial"/>
          <w:szCs w:val="20"/>
        </w:rPr>
        <w:t>.</w:t>
      </w:r>
    </w:p>
    <w:p>
      <w:pPr>
        <w:pStyle w:val="Nivel1"/>
        <w:numPr>
          <w:ilvl w:val="0"/>
          <w:numId w:val="2"/>
        </w:numPr>
        <w:rPr>
          <w:rFonts w:cs="Arial"/>
        </w:rPr>
      </w:pPr>
      <w:r>
        <w:rPr>
          <w:rFonts w:cs="Arial"/>
        </w:rPr>
        <w:t>JUSTIFICATIVA E OBJETIVO DA CONTRATAÇÃO</w:t>
      </w:r>
    </w:p>
    <w:p>
      <w:pPr>
        <w:pStyle w:val="Normal"/>
        <w:numPr>
          <w:ilvl w:val="1"/>
          <w:numId w:val="2"/>
        </w:numPr>
        <w:spacing w:lineRule="auto" w:line="276" w:before="120" w:after="120"/>
        <w:ind w:left="432" w:hanging="432"/>
        <w:jc w:val="both"/>
        <w:rPr>
          <w:rFonts w:cs="Arial"/>
          <w:szCs w:val="20"/>
        </w:rPr>
      </w:pPr>
      <w:r>
        <w:rPr/>
        <w:t>A Justificativa e objetivo da contratação encontram-se pormenorizados em Tópico específico dos Estudos Técnicos Preliminares, apêndice deste Termo de Referência.</w:t>
      </w:r>
    </w:p>
    <w:p>
      <w:pPr>
        <w:pStyle w:val="Nivel1"/>
        <w:numPr>
          <w:ilvl w:val="0"/>
          <w:numId w:val="2"/>
        </w:numPr>
        <w:rPr>
          <w:rFonts w:cs="Times New Roman" w:cstheme="majorBidi"/>
          <w:szCs w:val="32"/>
        </w:rPr>
      </w:pPr>
      <w:r>
        <w:rPr>
          <w:rFonts w:cs="Arial"/>
        </w:rPr>
        <w:t>DESCRIÇÃO</w:t>
      </w:r>
      <w:r>
        <w:rPr/>
        <w:t xml:space="preserve"> DA SOLUÇÃO:</w:t>
      </w:r>
    </w:p>
    <w:p>
      <w:pPr>
        <w:pStyle w:val="Normal"/>
        <w:numPr>
          <w:ilvl w:val="1"/>
          <w:numId w:val="17"/>
        </w:numPr>
        <w:spacing w:lineRule="auto" w:line="276" w:before="120" w:after="120"/>
        <w:ind w:left="425" w:hanging="0"/>
        <w:jc w:val="both"/>
        <w:rPr/>
      </w:pPr>
      <w:r>
        <w:rPr/>
        <w:t xml:space="preserve">A descrição da solução como um todo encontra-se pormenorizada em Tópico específico </w:t>
      </w:r>
      <w:r>
        <w:rPr>
          <w:rFonts w:cs="Arial"/>
          <w:szCs w:val="20"/>
        </w:rPr>
        <w:t>dos</w:t>
      </w:r>
      <w:r>
        <w:rPr/>
        <w:t xml:space="preserve"> Estudos Técnicos Preliminares, apêndice deste Termo de Referência.</w:t>
      </w:r>
    </w:p>
    <w:p>
      <w:pPr>
        <w:pStyle w:val="Nivel1"/>
        <w:numPr>
          <w:ilvl w:val="0"/>
          <w:numId w:val="2"/>
        </w:numPr>
        <w:rPr>
          <w:rFonts w:cs="Arial"/>
        </w:rPr>
      </w:pPr>
      <w:r>
        <w:rPr>
          <w:rFonts w:cs="Arial"/>
        </w:rPr>
        <w:t xml:space="preserve">DA CLASSIFICAÇÃO DOS SERVIÇOS </w:t>
      </w:r>
      <w:r>
        <w:rPr>
          <w:rFonts w:cs="Arial"/>
          <w:bCs/>
        </w:rPr>
        <w:t>E FORMA DE SELEÇÃO DO FORNECEDOR</w:t>
      </w:r>
    </w:p>
    <w:p>
      <w:pPr>
        <w:pStyle w:val="Normal"/>
        <w:numPr>
          <w:ilvl w:val="1"/>
          <w:numId w:val="2"/>
        </w:numPr>
        <w:spacing w:lineRule="auto" w:line="276" w:before="120" w:after="120"/>
        <w:jc w:val="both"/>
        <w:rPr>
          <w:rFonts w:cs="Arial"/>
          <w:iCs/>
          <w:szCs w:val="20"/>
        </w:rPr>
      </w:pPr>
      <w:r>
        <w:rPr>
          <w:rFonts w:cs="Arial"/>
          <w:iCs/>
          <w:szCs w:val="20"/>
        </w:rPr>
        <w:t>Trata-se de serviço comum, de caráter continuado e sem fornecimento de mão de obra em regime de dedicação exclusiva, a ser contratado mediante licitação, na modalidade pregão, em sua forma eletrônica.</w:t>
      </w:r>
    </w:p>
    <w:p>
      <w:pPr>
        <w:pStyle w:val="Normal"/>
        <w:numPr>
          <w:ilvl w:val="1"/>
          <w:numId w:val="2"/>
        </w:numPr>
        <w:spacing w:lineRule="auto" w:line="276" w:before="120" w:after="120"/>
        <w:jc w:val="both"/>
        <w:rPr>
          <w:rFonts w:cs="Arial"/>
          <w:color w:val="000000"/>
          <w:szCs w:val="20"/>
        </w:rPr>
      </w:pPr>
      <w:r>
        <w:rPr>
          <w:rFonts w:cs="Arial"/>
          <w:color w:val="000000"/>
          <w:szCs w:val="20"/>
        </w:rPr>
        <w:t>Os serviços a serem contratados enquadram-se nos pressupostos do Decreto n° 9.507, de 21 de setembro de 2018, não se constituindo em quaisquer das atividades, previstas no art. 3º do aludido decreto, cuja execução indireta é vedada.</w:t>
      </w:r>
    </w:p>
    <w:p>
      <w:pPr>
        <w:pStyle w:val="Normal"/>
        <w:numPr>
          <w:ilvl w:val="1"/>
          <w:numId w:val="2"/>
        </w:numPr>
        <w:spacing w:lineRule="auto" w:line="276" w:before="120" w:after="120"/>
        <w:jc w:val="both"/>
        <w:rPr>
          <w:rFonts w:cs="Arial"/>
          <w:color w:val="000000"/>
          <w:szCs w:val="20"/>
        </w:rPr>
      </w:pPr>
      <w:r>
        <w:rPr>
          <w:rFonts w:cs="Arial"/>
          <w:color w:val="000000"/>
          <w:szCs w:val="20"/>
        </w:rPr>
        <w:t>A prestação dos serviços não gera vínculo empregatício entre os empregados da Contratada e a Administração Contratante, vedando-se qualquer relação entre estes que caracterize pessoalidade e subordinação direta.</w:t>
      </w:r>
    </w:p>
    <w:p>
      <w:pPr>
        <w:pStyle w:val="Nivel1"/>
        <w:numPr>
          <w:ilvl w:val="0"/>
          <w:numId w:val="2"/>
        </w:numPr>
        <w:rPr>
          <w:rFonts w:cs="Arial"/>
        </w:rPr>
      </w:pPr>
      <w:r>
        <w:rPr>
          <w:rFonts w:cs="Arial"/>
        </w:rPr>
        <w:t>REQUISITOS DA CONTRATAÇÃO</w:t>
      </w:r>
    </w:p>
    <w:p>
      <w:pPr>
        <w:pStyle w:val="Normal"/>
        <w:numPr>
          <w:ilvl w:val="1"/>
          <w:numId w:val="2"/>
        </w:numPr>
        <w:suppressAutoHyphens w:val="true"/>
        <w:spacing w:before="0" w:after="120"/>
        <w:jc w:val="both"/>
        <w:rPr>
          <w:rFonts w:cs="Arial"/>
          <w:szCs w:val="20"/>
        </w:rPr>
      </w:pPr>
      <w:r>
        <w:rPr>
          <w:rFonts w:cs="Arial"/>
          <w:szCs w:val="20"/>
        </w:rPr>
        <w:t>Conforme Estudos Preliminares, os requisitos da contratação abrangem o seguinte:</w:t>
      </w:r>
    </w:p>
    <w:p>
      <w:pPr>
        <w:pStyle w:val="Normal"/>
        <w:numPr>
          <w:ilvl w:val="2"/>
          <w:numId w:val="2"/>
        </w:numPr>
        <w:suppressAutoHyphens w:val="true"/>
        <w:spacing w:before="0" w:after="120"/>
        <w:jc w:val="both"/>
        <w:rPr>
          <w:rFonts w:cs="Arial"/>
          <w:iCs/>
          <w:szCs w:val="20"/>
        </w:rPr>
      </w:pPr>
      <w:r>
        <w:rPr>
          <w:rFonts w:cs="Arial"/>
          <w:szCs w:val="20"/>
        </w:rPr>
        <w:t xml:space="preserve"> </w:t>
      </w:r>
      <w:r>
        <w:rPr>
          <w:rFonts w:cs="Arial"/>
          <w:szCs w:val="20"/>
        </w:rPr>
        <w:t>serviço continuado, sem fornecimento de mão de obra em regime de dedicação exclusiva</w:t>
      </w:r>
      <w:r>
        <w:rPr>
          <w:rFonts w:cs="Arial"/>
          <w:iCs/>
          <w:szCs w:val="20"/>
        </w:rPr>
        <w:t>;</w:t>
      </w:r>
    </w:p>
    <w:p>
      <w:pPr>
        <w:pStyle w:val="Normal"/>
        <w:numPr>
          <w:ilvl w:val="2"/>
          <w:numId w:val="2"/>
        </w:numPr>
        <w:suppressAutoHyphens w:val="true"/>
        <w:spacing w:before="0" w:after="120"/>
        <w:jc w:val="both"/>
        <w:rPr>
          <w:rFonts w:cs="Arial"/>
          <w:iCs/>
          <w:szCs w:val="20"/>
        </w:rPr>
      </w:pPr>
      <w:r>
        <w:rPr>
          <w:rFonts w:cs="Arial"/>
          <w:iCs/>
          <w:szCs w:val="20"/>
        </w:rPr>
        <w:t xml:space="preserve"> </w:t>
      </w:r>
      <w:r>
        <w:rPr>
          <w:rFonts w:cs="Arial"/>
          <w:iCs/>
          <w:szCs w:val="20"/>
        </w:rPr>
        <w:t>A empresa prestadora de serviços de telefonia móvel deve estar devidamente regulamentada junto à ANATEL para o Serviço Móvel Pessoal (SMP) local e de longa distância;</w:t>
      </w:r>
    </w:p>
    <w:p>
      <w:pPr>
        <w:pStyle w:val="Normal"/>
        <w:numPr>
          <w:ilvl w:val="2"/>
          <w:numId w:val="2"/>
        </w:numPr>
        <w:suppressAutoHyphens w:val="true"/>
        <w:spacing w:before="0" w:after="120"/>
        <w:jc w:val="both"/>
        <w:rPr>
          <w:rFonts w:cs="Arial"/>
          <w:iCs/>
          <w:szCs w:val="20"/>
        </w:rPr>
      </w:pPr>
      <w:r>
        <w:rPr>
          <w:rFonts w:cs="Arial"/>
          <w:iCs/>
          <w:szCs w:val="20"/>
        </w:rPr>
        <w:t>Os serviços prestados devem atender toda legislação inerente a atividade, seja regulatória e/ou resoluções, vigentes e futuras a serem implementadas, tais como:</w:t>
      </w:r>
    </w:p>
    <w:p>
      <w:pPr>
        <w:pStyle w:val="Normal"/>
        <w:numPr>
          <w:ilvl w:val="2"/>
          <w:numId w:val="7"/>
        </w:numPr>
        <w:suppressAutoHyphens w:val="true"/>
        <w:spacing w:before="0" w:after="120"/>
        <w:ind w:left="3119" w:hanging="504"/>
        <w:jc w:val="both"/>
        <w:rPr>
          <w:rFonts w:cs="Arial"/>
          <w:iCs/>
          <w:szCs w:val="20"/>
        </w:rPr>
      </w:pPr>
      <w:r>
        <w:rPr>
          <w:rFonts w:cs="Arial"/>
          <w:iCs/>
          <w:szCs w:val="20"/>
        </w:rPr>
        <w:t xml:space="preserve">Resolução da Anatel nº 477, de 7 de agosto de 2007 (Regulamento do Serviço Móvel Pessoal – SMP). </w:t>
      </w:r>
    </w:p>
    <w:p>
      <w:pPr>
        <w:pStyle w:val="Normal"/>
        <w:numPr>
          <w:ilvl w:val="2"/>
          <w:numId w:val="7"/>
        </w:numPr>
        <w:suppressAutoHyphens w:val="true"/>
        <w:spacing w:before="0" w:after="120"/>
        <w:ind w:left="3119" w:hanging="504"/>
        <w:jc w:val="both"/>
        <w:rPr>
          <w:rFonts w:cs="Arial"/>
          <w:iCs/>
          <w:szCs w:val="20"/>
        </w:rPr>
      </w:pPr>
      <w:r>
        <w:rPr>
          <w:rFonts w:cs="Arial"/>
          <w:iCs/>
          <w:szCs w:val="20"/>
        </w:rPr>
        <w:t>Resolução nº 575, de 28 de outubro de 2011 (Regulamento de Gestão da Qualidade da Prestação do Serviço Móvel Pessoal (RGQ-SMP)</w:t>
      </w:r>
    </w:p>
    <w:p>
      <w:pPr>
        <w:pStyle w:val="Normal"/>
        <w:numPr>
          <w:ilvl w:val="2"/>
          <w:numId w:val="7"/>
        </w:numPr>
        <w:suppressAutoHyphens w:val="true"/>
        <w:spacing w:before="0" w:after="120"/>
        <w:ind w:left="3119" w:hanging="504"/>
        <w:jc w:val="both"/>
        <w:rPr>
          <w:rFonts w:cs="Arial"/>
          <w:iCs/>
          <w:szCs w:val="20"/>
        </w:rPr>
      </w:pPr>
      <w:r>
        <w:rPr>
          <w:rFonts w:cs="Arial"/>
          <w:iCs/>
          <w:szCs w:val="20"/>
        </w:rPr>
        <w:t>Resolução nº 717, de 23 de dezembro de 2019 (Regulamento de Qualidade dos Serviços de Telecomunicações - RQUAL).</w:t>
      </w:r>
    </w:p>
    <w:p>
      <w:pPr>
        <w:pStyle w:val="Normal"/>
        <w:numPr>
          <w:ilvl w:val="2"/>
          <w:numId w:val="7"/>
        </w:numPr>
        <w:suppressAutoHyphens w:val="true"/>
        <w:spacing w:before="0" w:after="120"/>
        <w:ind w:left="3119" w:hanging="504"/>
        <w:jc w:val="both"/>
        <w:rPr>
          <w:rFonts w:cs="Arial"/>
          <w:iCs/>
          <w:szCs w:val="20"/>
        </w:rPr>
      </w:pPr>
      <w:r>
        <w:rPr>
          <w:rFonts w:cs="Arial"/>
          <w:iCs/>
          <w:szCs w:val="20"/>
        </w:rPr>
        <w:t>Resolução nº 632, de 7 de março de 2014 (Regulamento Geral de Direitos do Consumidor de Serviços de Telecomunicações – RGC).</w:t>
      </w:r>
    </w:p>
    <w:p>
      <w:pPr>
        <w:pStyle w:val="Normal"/>
        <w:numPr>
          <w:ilvl w:val="2"/>
          <w:numId w:val="7"/>
        </w:numPr>
        <w:suppressAutoHyphens w:val="true"/>
        <w:spacing w:before="0" w:after="120"/>
        <w:ind w:left="3119" w:hanging="504"/>
        <w:jc w:val="both"/>
        <w:rPr>
          <w:rFonts w:cs="Arial"/>
          <w:iCs/>
          <w:szCs w:val="20"/>
        </w:rPr>
      </w:pPr>
      <w:r>
        <w:rPr>
          <w:rFonts w:cs="Arial"/>
          <w:iCs/>
          <w:szCs w:val="20"/>
        </w:rPr>
        <w:t>Resolução nº 460, de 19 de março de 2007 (Regulamento Geral de Portabilidade – RGP).</w:t>
      </w:r>
    </w:p>
    <w:p>
      <w:pPr>
        <w:pStyle w:val="ListParagraph"/>
        <w:ind w:left="716" w:hanging="0"/>
        <w:jc w:val="both"/>
        <w:rPr>
          <w:rFonts w:cs="Arial"/>
          <w:szCs w:val="20"/>
        </w:rPr>
      </w:pPr>
      <w:r>
        <w:rPr>
          <w:rFonts w:cs="Arial"/>
          <w:szCs w:val="20"/>
        </w:rPr>
      </w:r>
    </w:p>
    <w:p>
      <w:pPr>
        <w:pStyle w:val="Nivel1"/>
        <w:numPr>
          <w:ilvl w:val="0"/>
          <w:numId w:val="2"/>
        </w:numPr>
        <w:rPr>
          <w:color w:val="auto"/>
        </w:rPr>
      </w:pPr>
      <w:r>
        <w:rPr>
          <w:rFonts w:cs="Arial"/>
          <w:color w:val="auto"/>
        </w:rPr>
        <w:t>INFORMAÇÕES</w:t>
      </w:r>
      <w:r>
        <w:rPr>
          <w:color w:val="auto"/>
        </w:rPr>
        <w:t xml:space="preserve"> RELEVANTES PARA O DIMENSIONAMENTO DA PROPOSTA</w:t>
      </w:r>
    </w:p>
    <w:p>
      <w:pPr>
        <w:pStyle w:val="Normal"/>
        <w:numPr>
          <w:ilvl w:val="1"/>
          <w:numId w:val="2"/>
        </w:numPr>
        <w:spacing w:lineRule="auto" w:line="276" w:before="120" w:after="120"/>
        <w:ind w:left="425" w:hanging="0"/>
        <w:jc w:val="both"/>
        <w:rPr>
          <w:rFonts w:cs="Arial"/>
          <w:bCs/>
          <w:szCs w:val="20"/>
        </w:rPr>
      </w:pPr>
      <w:r>
        <w:rPr>
          <w:rFonts w:cs="Arial"/>
          <w:bCs/>
          <w:szCs w:val="20"/>
        </w:rPr>
        <w:t>A demanda do órgão tem como base as seguintes características:</w:t>
      </w:r>
    </w:p>
    <w:p>
      <w:pPr>
        <w:pStyle w:val="ListParagraph"/>
        <w:numPr>
          <w:ilvl w:val="2"/>
          <w:numId w:val="2"/>
        </w:numPr>
        <w:spacing w:lineRule="auto" w:line="276" w:before="120" w:after="120"/>
        <w:contextualSpacing/>
        <w:jc w:val="both"/>
        <w:rPr>
          <w:rFonts w:cs="Arial"/>
          <w:bCs/>
          <w:szCs w:val="20"/>
        </w:rPr>
      </w:pPr>
      <w:r>
        <w:rPr>
          <w:rFonts w:cs="Arial"/>
          <w:bCs/>
          <w:szCs w:val="20"/>
        </w:rPr>
        <w:t>Permitir a ativação do serviço de telefonia móvel pessoal para terminais de origem na Área de Numeração do Estado do Paraná, mesmo que inicialmente sejam habilitados terminais nas áreas de numeração da cidade de Curitiba/PR (041).</w:t>
      </w:r>
    </w:p>
    <w:p>
      <w:pPr>
        <w:pStyle w:val="ListParagraph"/>
        <w:numPr>
          <w:ilvl w:val="2"/>
          <w:numId w:val="2"/>
        </w:numPr>
        <w:spacing w:lineRule="auto" w:line="276" w:before="120" w:after="120"/>
        <w:contextualSpacing/>
        <w:jc w:val="both"/>
        <w:rPr>
          <w:rFonts w:cs="Arial"/>
          <w:bCs/>
          <w:szCs w:val="20"/>
        </w:rPr>
      </w:pPr>
      <w:r>
        <w:rPr>
          <w:rFonts w:cs="Arial"/>
          <w:bCs/>
          <w:szCs w:val="20"/>
        </w:rPr>
        <w:t>Haver possibilidade da portabilidade dos terminais já existentes e em uso pelo Conselho, em conformidade com a Resolução nº 460/2007.</w:t>
      </w:r>
    </w:p>
    <w:p>
      <w:pPr>
        <w:pStyle w:val="ListParagraph"/>
        <w:numPr>
          <w:ilvl w:val="2"/>
          <w:numId w:val="2"/>
        </w:numPr>
        <w:spacing w:lineRule="auto" w:line="276" w:before="120" w:after="120"/>
        <w:contextualSpacing/>
        <w:jc w:val="both"/>
        <w:rPr>
          <w:rFonts w:cs="Arial"/>
          <w:bCs/>
          <w:szCs w:val="20"/>
        </w:rPr>
      </w:pPr>
      <w:r>
        <w:rPr>
          <w:rFonts w:cs="Arial"/>
          <w:bCs/>
          <w:szCs w:val="20"/>
        </w:rPr>
        <w:t>Possuir conectividade à internet em território nacional, em velocidades suportadas pelas redes de tecnologia 3G, 4G e/ou 5G. Onde não houver sinal 3G deverá ser atendido por sinal GPRS/EDGE.</w:t>
      </w:r>
    </w:p>
    <w:p>
      <w:pPr>
        <w:pStyle w:val="ListParagraph"/>
        <w:numPr>
          <w:ilvl w:val="2"/>
          <w:numId w:val="2"/>
        </w:numPr>
        <w:spacing w:lineRule="auto" w:line="276" w:before="120" w:after="120"/>
        <w:contextualSpacing/>
        <w:jc w:val="both"/>
        <w:rPr>
          <w:rFonts w:cs="Arial"/>
          <w:bCs/>
          <w:szCs w:val="20"/>
        </w:rPr>
      </w:pPr>
      <w:r>
        <w:rPr>
          <w:rFonts w:cs="Arial"/>
          <w:bCs/>
          <w:szCs w:val="20"/>
        </w:rPr>
        <w:t xml:space="preserve">Disponibilizar, no caso do contrato com fornecimento de dispositivo móvel, de aparelhos habilitados para o Serviço de Telefonia Móvel, atendidos por operadoras reguladas do Serviço Móvel Pessoal, com cobertura nacional. </w:t>
      </w:r>
    </w:p>
    <w:p>
      <w:pPr>
        <w:pStyle w:val="Normal"/>
        <w:numPr>
          <w:ilvl w:val="1"/>
          <w:numId w:val="2"/>
        </w:numPr>
        <w:spacing w:lineRule="auto" w:line="276" w:before="120" w:after="120"/>
        <w:jc w:val="both"/>
        <w:rPr>
          <w:rFonts w:cs="Arial"/>
          <w:bCs/>
          <w:szCs w:val="20"/>
        </w:rPr>
      </w:pPr>
      <w:r>
        <w:rPr>
          <w:rFonts w:cs="Arial"/>
          <w:bCs/>
          <w:szCs w:val="20"/>
        </w:rPr>
        <w:t xml:space="preserve">Para o </w:t>
      </w:r>
      <w:r>
        <w:rPr>
          <w:rFonts w:cs="Arial"/>
          <w:b/>
          <w:bCs/>
          <w:szCs w:val="20"/>
        </w:rPr>
        <w:t>ITEM 02</w:t>
      </w:r>
      <w:r>
        <w:rPr>
          <w:rFonts w:cs="Arial"/>
          <w:bCs/>
          <w:szCs w:val="20"/>
        </w:rPr>
        <w:t>, onde a contratação possui fornecimento de dispositivo móvel, os equipamentos em questão deverão possuir as seguintes especificações mínimas:</w:t>
      </w:r>
    </w:p>
    <w:p>
      <w:pPr>
        <w:pStyle w:val="Normal"/>
        <w:numPr>
          <w:ilvl w:val="2"/>
          <w:numId w:val="2"/>
        </w:numPr>
        <w:spacing w:lineRule="auto" w:line="276" w:before="120" w:after="120"/>
        <w:ind w:left="2127" w:hanging="709"/>
        <w:jc w:val="both"/>
        <w:rPr>
          <w:rFonts w:cs="Arial"/>
          <w:bCs/>
          <w:szCs w:val="20"/>
        </w:rPr>
      </w:pPr>
      <w:r>
        <w:rPr>
          <w:rFonts w:cs="Arial"/>
          <w:bCs/>
          <w:szCs w:val="20"/>
        </w:rPr>
        <w:t>Memória RAM de 4GB (quatro gigabytes);</w:t>
      </w:r>
    </w:p>
    <w:p>
      <w:pPr>
        <w:pStyle w:val="Normal"/>
        <w:numPr>
          <w:ilvl w:val="2"/>
          <w:numId w:val="2"/>
        </w:numPr>
        <w:spacing w:lineRule="auto" w:line="276" w:before="120" w:after="120"/>
        <w:ind w:left="2127" w:hanging="709"/>
        <w:jc w:val="both"/>
        <w:rPr>
          <w:rFonts w:cs="Arial"/>
          <w:bCs/>
          <w:szCs w:val="20"/>
        </w:rPr>
      </w:pPr>
      <w:r>
        <w:rPr>
          <w:rFonts w:cs="Arial"/>
          <w:bCs/>
          <w:szCs w:val="20"/>
        </w:rPr>
        <w:t>Armazenamento Interno de 64GB (sessenta e quatro gigabytes);</w:t>
      </w:r>
    </w:p>
    <w:p>
      <w:pPr>
        <w:pStyle w:val="Normal"/>
        <w:numPr>
          <w:ilvl w:val="2"/>
          <w:numId w:val="2"/>
        </w:numPr>
        <w:spacing w:lineRule="auto" w:line="276" w:before="120" w:after="120"/>
        <w:ind w:left="2127" w:hanging="709"/>
        <w:jc w:val="both"/>
        <w:rPr>
          <w:rFonts w:cs="Arial"/>
          <w:bCs/>
          <w:szCs w:val="20"/>
        </w:rPr>
      </w:pPr>
      <w:r>
        <w:rPr>
          <w:rFonts w:cs="Arial"/>
          <w:bCs/>
          <w:szCs w:val="20"/>
        </w:rPr>
        <w:t>Suporte a rede LTE;</w:t>
      </w:r>
    </w:p>
    <w:p>
      <w:pPr>
        <w:pStyle w:val="Normal"/>
        <w:numPr>
          <w:ilvl w:val="2"/>
          <w:numId w:val="2"/>
        </w:numPr>
        <w:spacing w:lineRule="auto" w:line="276" w:before="120" w:after="120"/>
        <w:ind w:left="2127" w:hanging="709"/>
        <w:jc w:val="both"/>
        <w:rPr>
          <w:rFonts w:cs="Arial"/>
          <w:bCs/>
          <w:szCs w:val="20"/>
        </w:rPr>
      </w:pPr>
      <w:r>
        <w:rPr>
          <w:rFonts w:cs="Arial"/>
          <w:bCs/>
          <w:szCs w:val="20"/>
        </w:rPr>
        <w:t>Tamanho de Tela de 6.4”, resolução mínima de 1080x2340 pixels e 392ppi;</w:t>
      </w:r>
    </w:p>
    <w:p>
      <w:pPr>
        <w:pStyle w:val="Normal"/>
        <w:numPr>
          <w:ilvl w:val="2"/>
          <w:numId w:val="2"/>
        </w:numPr>
        <w:spacing w:lineRule="auto" w:line="276" w:before="120" w:after="120"/>
        <w:ind w:left="2127" w:hanging="709"/>
        <w:jc w:val="both"/>
        <w:rPr>
          <w:rFonts w:cs="Arial"/>
          <w:bCs/>
          <w:szCs w:val="20"/>
        </w:rPr>
      </w:pPr>
      <w:r>
        <w:rPr>
          <w:rFonts w:cs="Arial"/>
          <w:bCs/>
          <w:szCs w:val="20"/>
        </w:rPr>
        <w:t>Dual Sim, com possibilidade de uma das portas ser e-SIM;</w:t>
      </w:r>
    </w:p>
    <w:p>
      <w:pPr>
        <w:pStyle w:val="Normal"/>
        <w:numPr>
          <w:ilvl w:val="2"/>
          <w:numId w:val="2"/>
        </w:numPr>
        <w:spacing w:lineRule="auto" w:line="276" w:before="120" w:after="120"/>
        <w:ind w:left="2127" w:hanging="709"/>
        <w:jc w:val="both"/>
        <w:rPr>
          <w:rFonts w:cs="Arial"/>
          <w:bCs/>
          <w:szCs w:val="20"/>
        </w:rPr>
      </w:pPr>
      <w:r>
        <w:rPr>
          <w:rFonts w:cs="Arial"/>
          <w:bCs/>
          <w:szCs w:val="20"/>
        </w:rPr>
        <w:t>Câmera traseira principal com estabilização, autofoco, foco por toque, flash, 48 (quarenta e oito) Megapixels e resolução mínima de 8000x6000 pixels;</w:t>
      </w:r>
    </w:p>
    <w:p>
      <w:pPr>
        <w:pStyle w:val="Normal"/>
        <w:numPr>
          <w:ilvl w:val="2"/>
          <w:numId w:val="2"/>
        </w:numPr>
        <w:spacing w:lineRule="auto" w:line="276" w:before="120" w:after="120"/>
        <w:ind w:left="2127" w:hanging="709"/>
        <w:jc w:val="both"/>
        <w:rPr>
          <w:rFonts w:cs="Arial"/>
          <w:bCs/>
          <w:szCs w:val="20"/>
        </w:rPr>
      </w:pPr>
      <w:r>
        <w:rPr>
          <w:rFonts w:cs="Arial"/>
          <w:bCs/>
          <w:szCs w:val="20"/>
        </w:rPr>
        <w:t>Wifi 802.11 a/b/g/n/ac;</w:t>
      </w:r>
    </w:p>
    <w:p>
      <w:pPr>
        <w:pStyle w:val="Normal"/>
        <w:numPr>
          <w:ilvl w:val="2"/>
          <w:numId w:val="2"/>
        </w:numPr>
        <w:spacing w:lineRule="auto" w:line="276" w:before="120" w:after="120"/>
        <w:ind w:left="2127" w:hanging="709"/>
        <w:jc w:val="both"/>
        <w:rPr>
          <w:rFonts w:cs="Arial"/>
          <w:bCs/>
          <w:szCs w:val="20"/>
        </w:rPr>
      </w:pPr>
      <w:r>
        <w:rPr>
          <w:rFonts w:cs="Arial"/>
          <w:bCs/>
          <w:szCs w:val="20"/>
        </w:rPr>
        <w:t>Bluetooth 5.0 com A2DP/LE/aptX;</w:t>
      </w:r>
    </w:p>
    <w:p>
      <w:pPr>
        <w:pStyle w:val="Normal"/>
        <w:numPr>
          <w:ilvl w:val="2"/>
          <w:numId w:val="2"/>
        </w:numPr>
        <w:spacing w:lineRule="auto" w:line="276" w:before="120" w:after="120"/>
        <w:ind w:left="2127" w:hanging="709"/>
        <w:jc w:val="both"/>
        <w:rPr>
          <w:rFonts w:cs="Arial"/>
          <w:bCs/>
          <w:szCs w:val="20"/>
        </w:rPr>
      </w:pPr>
      <w:r>
        <w:rPr>
          <w:rFonts w:cs="Arial"/>
          <w:bCs/>
          <w:szCs w:val="20"/>
        </w:rPr>
        <w:t>GPS A-GPS/GLONASS;</w:t>
      </w:r>
    </w:p>
    <w:p>
      <w:pPr>
        <w:pStyle w:val="Normal"/>
        <w:numPr>
          <w:ilvl w:val="2"/>
          <w:numId w:val="2"/>
        </w:numPr>
        <w:spacing w:lineRule="auto" w:line="276" w:before="120" w:after="120"/>
        <w:ind w:left="2127" w:hanging="709"/>
        <w:jc w:val="both"/>
        <w:rPr>
          <w:rFonts w:cs="Arial"/>
          <w:bCs/>
          <w:szCs w:val="20"/>
        </w:rPr>
      </w:pPr>
      <w:r>
        <w:rPr>
          <w:rFonts w:cs="Arial"/>
          <w:bCs/>
          <w:szCs w:val="20"/>
        </w:rPr>
        <w:t>Detecção Facial;</w:t>
      </w:r>
    </w:p>
    <w:p>
      <w:pPr>
        <w:pStyle w:val="Normal"/>
        <w:numPr>
          <w:ilvl w:val="1"/>
          <w:numId w:val="2"/>
        </w:numPr>
        <w:spacing w:lineRule="auto" w:line="276" w:before="120" w:after="120"/>
        <w:jc w:val="both"/>
        <w:rPr>
          <w:rFonts w:cs="Arial"/>
          <w:bCs/>
          <w:szCs w:val="20"/>
        </w:rPr>
      </w:pPr>
      <w:r>
        <w:rPr>
          <w:rFonts w:cs="Arial"/>
          <w:bCs/>
          <w:szCs w:val="20"/>
        </w:rPr>
        <w:t>As especificações mínimas elencadas acima estão em consonância com os seguintes modelos de referência:</w:t>
      </w:r>
    </w:p>
    <w:p>
      <w:pPr>
        <w:pStyle w:val="Normal"/>
        <w:numPr>
          <w:ilvl w:val="2"/>
          <w:numId w:val="2"/>
        </w:numPr>
        <w:spacing w:lineRule="auto" w:line="276" w:before="120" w:after="120"/>
        <w:jc w:val="both"/>
        <w:rPr>
          <w:rFonts w:cs="Arial"/>
          <w:bCs/>
          <w:szCs w:val="20"/>
        </w:rPr>
      </w:pPr>
      <w:r>
        <w:rPr>
          <w:rFonts w:cs="Arial"/>
          <w:bCs/>
          <w:szCs w:val="20"/>
        </w:rPr>
        <w:t>Motorola Moto G 5G</w:t>
      </w:r>
    </w:p>
    <w:p>
      <w:pPr>
        <w:pStyle w:val="Normal"/>
        <w:numPr>
          <w:ilvl w:val="2"/>
          <w:numId w:val="2"/>
        </w:numPr>
        <w:spacing w:lineRule="auto" w:line="276" w:before="120" w:after="120"/>
        <w:jc w:val="both"/>
        <w:rPr>
          <w:rFonts w:cs="Arial"/>
          <w:bCs/>
          <w:szCs w:val="20"/>
        </w:rPr>
      </w:pPr>
      <w:r>
        <w:rPr>
          <w:rFonts w:cs="Arial"/>
          <w:bCs/>
          <w:szCs w:val="20"/>
        </w:rPr>
        <w:t>Redmi Note 9S</w:t>
      </w:r>
    </w:p>
    <w:p>
      <w:pPr>
        <w:pStyle w:val="Normal"/>
        <w:numPr>
          <w:ilvl w:val="2"/>
          <w:numId w:val="2"/>
        </w:numPr>
        <w:spacing w:lineRule="auto" w:line="276" w:before="120" w:after="120"/>
        <w:jc w:val="both"/>
        <w:rPr>
          <w:rFonts w:cs="Arial"/>
          <w:bCs/>
          <w:szCs w:val="20"/>
        </w:rPr>
      </w:pPr>
      <w:r>
        <w:rPr>
          <w:rFonts w:cs="Arial"/>
          <w:bCs/>
          <w:szCs w:val="20"/>
        </w:rPr>
        <w:t>Samsung Galaxy M21s</w:t>
      </w:r>
    </w:p>
    <w:p>
      <w:pPr>
        <w:pStyle w:val="Normal"/>
        <w:numPr>
          <w:ilvl w:val="1"/>
          <w:numId w:val="2"/>
        </w:numPr>
        <w:spacing w:lineRule="auto" w:line="276" w:before="120" w:after="120"/>
        <w:jc w:val="both"/>
        <w:rPr>
          <w:rFonts w:cs="Arial"/>
          <w:bCs/>
          <w:szCs w:val="20"/>
        </w:rPr>
      </w:pPr>
      <w:r>
        <w:rPr>
          <w:rFonts w:cs="Arial"/>
          <w:bCs/>
          <w:szCs w:val="20"/>
        </w:rPr>
        <w:t>Os equipamentos a serem disponibilizados deverão ser compatíveis com as especificações e os modelos de referência. Quando da renovação do contrato (30 meses) os novos aparelhos deverão ser equivalentes a modelos substitutos dos atuais modelos de referência, com suas especificações atualizadas em relação as especificações técnicas, tecnologias e recursos que sofrerão aprimoramentos e melhorias durante a vigência do primeiro período contratual.</w:t>
      </w:r>
    </w:p>
    <w:p>
      <w:pPr>
        <w:pStyle w:val="Normal"/>
        <w:numPr>
          <w:ilvl w:val="1"/>
          <w:numId w:val="2"/>
        </w:numPr>
        <w:spacing w:lineRule="auto" w:line="276" w:before="120" w:after="120"/>
        <w:jc w:val="both"/>
        <w:rPr>
          <w:rFonts w:cs="Arial"/>
          <w:bCs/>
          <w:szCs w:val="20"/>
        </w:rPr>
      </w:pPr>
      <w:r>
        <w:rPr>
          <w:rFonts w:cs="Arial"/>
          <w:bCs/>
          <w:szCs w:val="20"/>
        </w:rPr>
        <w:t>A empresa deverá se responsabilizar pela manutenção dos aparelhos pelo tempo da contratação, excluindo-se os casos de perda, roubo ou dano por responsabilidade do usuário.</w:t>
      </w:r>
      <w:bookmarkStart w:id="0" w:name="_Hlk528056197"/>
      <w:bookmarkEnd w:id="0"/>
    </w:p>
    <w:p>
      <w:pPr>
        <w:pStyle w:val="Nivel1"/>
        <w:numPr>
          <w:ilvl w:val="0"/>
          <w:numId w:val="2"/>
        </w:numPr>
        <w:rPr>
          <w:rFonts w:cs="Arial"/>
        </w:rPr>
      </w:pPr>
      <w:r>
        <w:rPr>
          <w:rFonts w:cs="Arial"/>
          <w:lang w:eastAsia="en-US"/>
        </w:rPr>
        <w:t>OBRIGAÇÕES DA CONTRATANTE</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Exigir o cumprimento de todas as obrigações assumidas pela Contratada, de acordo com as cláusulas contratuais e os termos de sua proposta;</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Pagar à Contratada o valor resultante da prestação do serviço, no prazo e condições estabelecidas neste Termo de Referência;</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Efetuar as retenções tributárias devidas sobre o valor da Nota Fiscal/Fatura da contratada, no que couber, em conformidade com o item 6 do Anexo XI da IN SEGES/MP n. 5/2017.</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Não praticar atos de ingerência na administração da Contratada, tais como:</w:t>
      </w:r>
    </w:p>
    <w:p>
      <w:pPr>
        <w:pStyle w:val="ListParagraph"/>
        <w:numPr>
          <w:ilvl w:val="2"/>
          <w:numId w:val="2"/>
        </w:numPr>
        <w:spacing w:lineRule="auto" w:line="276" w:before="120" w:after="120"/>
        <w:ind w:left="1134" w:hanging="0"/>
        <w:contextualSpacing/>
        <w:jc w:val="both"/>
        <w:rPr>
          <w:rFonts w:cs="Arial"/>
          <w:color w:val="000000"/>
          <w:szCs w:val="20"/>
        </w:rPr>
      </w:pPr>
      <w:r>
        <w:rPr>
          <w:rFonts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pPr>
        <w:pStyle w:val="ListParagraph"/>
        <w:numPr>
          <w:ilvl w:val="2"/>
          <w:numId w:val="2"/>
        </w:numPr>
        <w:spacing w:lineRule="auto" w:line="276" w:before="120" w:after="120"/>
        <w:ind w:left="1134" w:hanging="0"/>
        <w:contextualSpacing/>
        <w:jc w:val="both"/>
        <w:rPr>
          <w:rFonts w:cs="Arial"/>
          <w:color w:val="000000"/>
          <w:szCs w:val="20"/>
        </w:rPr>
      </w:pPr>
      <w:r>
        <w:rPr>
          <w:rFonts w:cs="Arial"/>
          <w:color w:val="000000"/>
          <w:szCs w:val="20"/>
        </w:rPr>
        <w:t>direcionar a contratação de pessoas para trabalhar nas empresas Contratadas;</w:t>
      </w:r>
    </w:p>
    <w:p>
      <w:pPr>
        <w:pStyle w:val="ListParagraph"/>
        <w:numPr>
          <w:ilvl w:val="2"/>
          <w:numId w:val="2"/>
        </w:numPr>
        <w:spacing w:lineRule="auto" w:line="276" w:before="120" w:after="120"/>
        <w:ind w:left="1134" w:hanging="0"/>
        <w:contextualSpacing/>
        <w:jc w:val="both"/>
        <w:rPr>
          <w:rFonts w:cs="Arial"/>
          <w:color w:val="000000"/>
          <w:szCs w:val="20"/>
        </w:rPr>
      </w:pPr>
      <w:r>
        <w:rPr>
          <w:rFonts w:cs="Arial"/>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pPr>
        <w:pStyle w:val="ListParagraph"/>
        <w:numPr>
          <w:ilvl w:val="2"/>
          <w:numId w:val="2"/>
        </w:numPr>
        <w:spacing w:lineRule="auto" w:line="276" w:before="120" w:after="120"/>
        <w:ind w:left="1134" w:hanging="0"/>
        <w:contextualSpacing/>
        <w:jc w:val="both"/>
        <w:rPr>
          <w:rFonts w:cs="Arial"/>
          <w:color w:val="000000"/>
          <w:szCs w:val="20"/>
        </w:rPr>
      </w:pPr>
      <w:r>
        <w:rPr>
          <w:rFonts w:cs="Arial"/>
          <w:color w:val="000000"/>
          <w:szCs w:val="20"/>
        </w:rPr>
        <w:t>considerar os trabalhadores da Contratada como colaboradores eventuais do próprio órgão ou entidade responsável pela contratação, especialmente para efeito de concessão de diárias e passagens.</w:t>
      </w:r>
    </w:p>
    <w:p>
      <w:pPr>
        <w:pStyle w:val="Normal"/>
        <w:numPr>
          <w:ilvl w:val="1"/>
          <w:numId w:val="2"/>
        </w:numPr>
        <w:spacing w:lineRule="auto" w:line="276" w:before="120" w:after="120"/>
        <w:ind w:left="425" w:hanging="0"/>
        <w:jc w:val="both"/>
        <w:rPr>
          <w:rFonts w:cs="Arial"/>
          <w:color w:val="000000"/>
          <w:szCs w:val="20"/>
        </w:rPr>
      </w:pPr>
      <w:r>
        <w:rPr>
          <w:rFonts w:cs="Arial"/>
          <w:szCs w:val="20"/>
        </w:rPr>
        <w:t xml:space="preserve">Fornecer por escrito as informações necessárias para o desenvolvimento dos serviços objeto </w:t>
      </w:r>
      <w:r>
        <w:rPr>
          <w:rFonts w:cs="Arial"/>
          <w:color w:val="000000"/>
          <w:szCs w:val="20"/>
        </w:rPr>
        <w:t>do contrato;</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Realizar avaliações periódicas da qualidade dos serviços, após seu recebimento;</w:t>
      </w:r>
    </w:p>
    <w:p>
      <w:pPr>
        <w:pStyle w:val="Normal"/>
        <w:numPr>
          <w:ilvl w:val="1"/>
          <w:numId w:val="2"/>
        </w:numPr>
        <w:spacing w:lineRule="auto" w:line="276" w:before="120" w:after="120"/>
        <w:ind w:left="425" w:hanging="0"/>
        <w:jc w:val="both"/>
        <w:rPr>
          <w:rFonts w:cs="Arial"/>
          <w:szCs w:val="20"/>
        </w:rPr>
      </w:pPr>
      <w:r>
        <w:rPr>
          <w:rFonts w:cs="Arial"/>
          <w:color w:val="000000"/>
          <w:szCs w:val="20"/>
        </w:rPr>
        <w:t xml:space="preserve">Cientificar o órgão de representação judicial da Advocacia-Geral da União para adoção </w:t>
      </w:r>
      <w:r>
        <w:rPr>
          <w:rFonts w:cs="Arial"/>
          <w:szCs w:val="20"/>
        </w:rPr>
        <w:t xml:space="preserve">das medidas cabíveis quando do descumprimento das obrigações pela Contratada; </w:t>
      </w:r>
    </w:p>
    <w:p>
      <w:pPr>
        <w:pStyle w:val="Normal"/>
        <w:numPr>
          <w:ilvl w:val="1"/>
          <w:numId w:val="2"/>
        </w:numPr>
        <w:spacing w:lineRule="auto" w:line="276" w:before="120" w:after="120"/>
        <w:ind w:left="426" w:hanging="0"/>
        <w:jc w:val="both"/>
        <w:rPr>
          <w:rFonts w:cs="Arial"/>
          <w:i/>
          <w:i/>
          <w:szCs w:val="20"/>
        </w:rPr>
      </w:pPr>
      <w:r>
        <w:rPr>
          <w:rFonts w:cs="Arial"/>
          <w:szCs w:val="20"/>
        </w:rPr>
        <w:t>Fiscalizar o cumprimento dos requisitos legais, quando a contratada houver se beneficiado da preferência estabelecida pelo art. 3º, § 5º, da Lei nº 8.666, de 1993.</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pPr>
        <w:pStyle w:val="Nivel1"/>
        <w:numPr>
          <w:ilvl w:val="0"/>
          <w:numId w:val="2"/>
        </w:numPr>
        <w:rPr>
          <w:rFonts w:cs="Arial"/>
        </w:rPr>
      </w:pPr>
      <w:r>
        <w:rPr>
          <w:rFonts w:cs="Arial"/>
        </w:rPr>
        <w:t>OBRIGAÇÕES DA CONTRATADA</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Utilizar empregados habilitados e com conhecimentos básicos dos serviços a serem executados, em conformidade com as normas e determinações em vigor;</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pPr>
        <w:pStyle w:val="Normal"/>
        <w:numPr>
          <w:ilvl w:val="1"/>
          <w:numId w:val="2"/>
        </w:numPr>
        <w:spacing w:lineRule="auto" w:line="276" w:before="120" w:after="120"/>
        <w:ind w:left="425" w:hanging="0"/>
        <w:jc w:val="both"/>
        <w:rPr>
          <w:rFonts w:cs="Arial"/>
          <w:iCs/>
          <w:szCs w:val="20"/>
        </w:rPr>
      </w:pPr>
      <w:r>
        <w:rPr>
          <w:rFonts w:cs="Arial"/>
          <w:iCs/>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w:t>
      </w:r>
      <w:r>
        <w:rPr>
          <w:rFonts w:cs="Arial"/>
          <w:szCs w:val="20"/>
        </w:rPr>
        <w:t>3) certidões que comprovem a regularidade perante a Fazenda Municipal/Estadual ou Distrital do domicílio ou sede do contratado</w:t>
      </w:r>
      <w:r>
        <w:rPr>
          <w:rFonts w:cs="Arial"/>
          <w:iCs/>
          <w:szCs w:val="20"/>
        </w:rPr>
        <w:t>; 4) Certidão de Regularidade do FGTS – CRF; e 5) Certidão Negativa de Débitos Trabalhistas – CNDT, conforme alínea "c" do item 10.2 do Anexo VIII-B da IN SEGES/MP n. 5/2017;</w:t>
      </w:r>
    </w:p>
    <w:p>
      <w:pPr>
        <w:pStyle w:val="Normal"/>
        <w:numPr>
          <w:ilvl w:val="1"/>
          <w:numId w:val="2"/>
        </w:numPr>
        <w:spacing w:lineRule="auto" w:line="276" w:before="120" w:after="120"/>
        <w:ind w:left="425" w:hanging="0"/>
        <w:jc w:val="both"/>
        <w:rPr>
          <w:rFonts w:cs="Arial"/>
          <w:iCs/>
          <w:szCs w:val="20"/>
          <w:lang w:eastAsia="en-US"/>
        </w:rPr>
      </w:pPr>
      <w:r>
        <w:rPr>
          <w:rFonts w:cs="Arial"/>
          <w:iCs/>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pPr>
        <w:pStyle w:val="Normal"/>
        <w:numPr>
          <w:ilvl w:val="1"/>
          <w:numId w:val="2"/>
        </w:numPr>
        <w:spacing w:lineRule="auto" w:line="276" w:before="120" w:after="120"/>
        <w:ind w:left="425" w:hanging="0"/>
        <w:jc w:val="both"/>
        <w:rPr>
          <w:rFonts w:cs="Arial"/>
          <w:szCs w:val="20"/>
        </w:rPr>
      </w:pPr>
      <w:r>
        <w:rPr>
          <w:rFonts w:cs="Arial"/>
          <w:szCs w:val="20"/>
        </w:rPr>
        <w:t xml:space="preserve">Comunicar ao Fiscal do contrato, no prazo de 24 (vinte e quatro) horas, qualquer ocorrência anormal ou </w:t>
      </w:r>
      <w:r>
        <w:rPr>
          <w:rFonts w:cs="Arial"/>
          <w:color w:val="000000"/>
          <w:szCs w:val="20"/>
        </w:rPr>
        <w:t>acidente</w:t>
      </w:r>
      <w:r>
        <w:rPr>
          <w:rFonts w:cs="Arial"/>
          <w:szCs w:val="20"/>
        </w:rPr>
        <w:t xml:space="preserve"> que se verifique no local dos serviços.</w:t>
      </w:r>
    </w:p>
    <w:p>
      <w:pPr>
        <w:pStyle w:val="Normal"/>
        <w:numPr>
          <w:ilvl w:val="1"/>
          <w:numId w:val="2"/>
        </w:numPr>
        <w:spacing w:lineRule="auto" w:line="276" w:before="120" w:after="120"/>
        <w:ind w:left="425" w:hanging="0"/>
        <w:jc w:val="both"/>
        <w:rPr>
          <w:rFonts w:cs="Arial"/>
          <w:color w:val="000000"/>
          <w:szCs w:val="20"/>
        </w:rPr>
      </w:pPr>
      <w:r>
        <w:rPr>
          <w:rFonts w:cs="Arial"/>
          <w:szCs w:val="20"/>
        </w:rPr>
        <w:t>Prestar todo esclarecimento ou informação solicitada pela Contratante ou por seus prepostos, garantindo-lhes o acesso, a qualquer tempo, ao local dos trabalhos, bem como aos documentos relativos à execução do empreendimento.</w:t>
      </w:r>
    </w:p>
    <w:p>
      <w:pPr>
        <w:pStyle w:val="Normal"/>
        <w:numPr>
          <w:ilvl w:val="1"/>
          <w:numId w:val="2"/>
        </w:numPr>
        <w:spacing w:lineRule="auto" w:line="276" w:before="120" w:after="120"/>
        <w:ind w:left="425" w:hanging="0"/>
        <w:jc w:val="both"/>
        <w:rPr>
          <w:rFonts w:cs="Arial"/>
          <w:color w:val="000000"/>
          <w:szCs w:val="20"/>
        </w:rPr>
      </w:pPr>
      <w:r>
        <w:rPr>
          <w:rFonts w:cs="Arial"/>
          <w:szCs w:val="20"/>
        </w:rPr>
        <w:t>Paralisar, por determinação da Contratante, qualquer atividade que não esteja sendo executada de acordo com a boa técnica ou que ponha em risco a segurança de pessoas ou bens de terceiros.</w:t>
      </w:r>
    </w:p>
    <w:p>
      <w:pPr>
        <w:pStyle w:val="Normal"/>
        <w:numPr>
          <w:ilvl w:val="1"/>
          <w:numId w:val="2"/>
        </w:numPr>
        <w:spacing w:lineRule="auto" w:line="276" w:before="120" w:after="120"/>
        <w:ind w:left="425" w:hanging="0"/>
        <w:jc w:val="both"/>
        <w:rPr>
          <w:rFonts w:cs="Arial"/>
          <w:color w:val="000000"/>
          <w:szCs w:val="20"/>
        </w:rPr>
      </w:pPr>
      <w:r>
        <w:rPr>
          <w:rFonts w:cs="Arial"/>
          <w:szCs w:val="20"/>
        </w:rPr>
        <w:t>Promover a guarda, manutenção e vigilância de materiais, ferramentas, e tudo o que for necessário à execução dos serviços, durante a vigência do contrato.</w:t>
      </w:r>
    </w:p>
    <w:p>
      <w:pPr>
        <w:pStyle w:val="Normal"/>
        <w:numPr>
          <w:ilvl w:val="1"/>
          <w:numId w:val="2"/>
        </w:numPr>
        <w:spacing w:lineRule="auto" w:line="276" w:before="120" w:after="120"/>
        <w:ind w:left="425" w:hanging="0"/>
        <w:jc w:val="both"/>
        <w:rPr>
          <w:rFonts w:cs="Arial"/>
          <w:szCs w:val="20"/>
        </w:rPr>
      </w:pPr>
      <w:r>
        <w:rPr>
          <w:rFonts w:cs="Arial"/>
          <w:szCs w:val="20"/>
        </w:rPr>
        <w:t>Promover a organização técnica e administrativa dos serviços, de modo a conduzi-los eficaz e eficientemente, de acordo com os documentos e especificações que integram este Termo de Referência, no prazo determinado.</w:t>
      </w:r>
    </w:p>
    <w:p>
      <w:pPr>
        <w:pStyle w:val="Normal"/>
        <w:numPr>
          <w:ilvl w:val="1"/>
          <w:numId w:val="2"/>
        </w:numPr>
        <w:spacing w:lineRule="auto" w:line="276" w:before="120" w:after="120"/>
        <w:ind w:left="425" w:hanging="0"/>
        <w:jc w:val="both"/>
        <w:rPr>
          <w:rFonts w:cs="Arial"/>
          <w:szCs w:val="20"/>
        </w:rPr>
      </w:pPr>
      <w:r>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pPr>
        <w:pStyle w:val="Normal"/>
        <w:numPr>
          <w:ilvl w:val="1"/>
          <w:numId w:val="2"/>
        </w:numPr>
        <w:spacing w:lineRule="auto" w:line="276" w:before="120" w:after="120"/>
        <w:ind w:left="425" w:hanging="0"/>
        <w:jc w:val="both"/>
        <w:rPr>
          <w:rFonts w:cs="Arial"/>
          <w:szCs w:val="20"/>
        </w:rPr>
      </w:pPr>
      <w:r>
        <w:rPr>
          <w:rFonts w:cs="Arial"/>
          <w:szCs w:val="20"/>
        </w:rPr>
        <w:t>Submeter previamente, por escrito, à Contratante, para análise e aprovação, quaisquer mudanças nos métodos executivos que fujam às especificações do memorial descritivo.</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 xml:space="preserve"> </w:t>
      </w:r>
      <w:r>
        <w:rPr>
          <w:rFonts w:cs="Arial"/>
          <w:color w:val="000000"/>
          <w:szCs w:val="20"/>
        </w:rPr>
        <w:t>Manter durante toda a vigência do contrato, em compatibilidade com as obrigações assumidas, todas as condições de habilitação e qualificação exigidas na licitação;</w:t>
      </w:r>
    </w:p>
    <w:p>
      <w:pPr>
        <w:pStyle w:val="ListParagraph"/>
        <w:numPr>
          <w:ilvl w:val="1"/>
          <w:numId w:val="2"/>
        </w:numPr>
        <w:spacing w:lineRule="auto" w:line="276" w:before="120" w:after="120"/>
        <w:ind w:left="425" w:hanging="0"/>
        <w:contextualSpacing/>
        <w:jc w:val="both"/>
        <w:rPr>
          <w:rFonts w:cs="Arial"/>
          <w:color w:val="000000"/>
          <w:szCs w:val="20"/>
        </w:rPr>
      </w:pPr>
      <w:r>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rFonts w:cs="Arial"/>
          <w:i/>
          <w:iCs/>
          <w:color w:val="000000" w:themeColor="text1"/>
          <w:szCs w:val="20"/>
        </w:rPr>
        <w:t>.</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Guardar sigilo sobre todas as informações obtidas em decorrência do cumprimento do contrato;</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Normal"/>
        <w:numPr>
          <w:ilvl w:val="1"/>
          <w:numId w:val="2"/>
        </w:numPr>
        <w:spacing w:lineRule="auto" w:line="276" w:before="120" w:after="120"/>
        <w:ind w:left="425" w:hanging="0"/>
        <w:jc w:val="both"/>
        <w:rPr>
          <w:rFonts w:cs="Arial"/>
          <w:color w:val="000000"/>
          <w:szCs w:val="20"/>
        </w:rPr>
      </w:pPr>
      <w:r>
        <w:rPr>
          <w:rFonts w:cs="Arial"/>
          <w:szCs w:val="20"/>
        </w:rPr>
        <w:t>Cumprir, além dos postulados legais vigentes de âmbito federal, estadual ou municipal, as normas de segurança da Contratante;</w:t>
      </w:r>
    </w:p>
    <w:p>
      <w:pPr>
        <w:pStyle w:val="Normal"/>
        <w:numPr>
          <w:ilvl w:val="1"/>
          <w:numId w:val="2"/>
        </w:numPr>
        <w:spacing w:lineRule="auto" w:line="276" w:before="120" w:after="120"/>
        <w:ind w:left="425" w:hanging="0"/>
        <w:jc w:val="both"/>
        <w:rPr>
          <w:rFonts w:cs="Arial"/>
          <w:szCs w:val="20"/>
        </w:rPr>
      </w:pPr>
      <w:r>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numPr>
          <w:ilvl w:val="1"/>
          <w:numId w:val="2"/>
        </w:numPr>
        <w:spacing w:lineRule="auto" w:line="276" w:before="120" w:after="120"/>
        <w:ind w:left="425" w:hanging="0"/>
        <w:jc w:val="both"/>
        <w:rPr>
          <w:rFonts w:cs="Arial"/>
          <w:szCs w:val="20"/>
        </w:rPr>
      </w:pPr>
      <w:r>
        <w:rPr>
          <w:rFonts w:cs="Arial"/>
          <w:szCs w:val="20"/>
        </w:rPr>
        <w:t>Assegurar à CONTRATANTE, em conformidade com o previsto no subitem 6.1, “a” e “b”, do Anexo VII – F da Instrução Normativa SEGES/MP nº 5, de 25/05/2017:</w:t>
      </w:r>
    </w:p>
    <w:p>
      <w:pPr>
        <w:pStyle w:val="Normal"/>
        <w:numPr>
          <w:ilvl w:val="2"/>
          <w:numId w:val="2"/>
        </w:numPr>
        <w:spacing w:lineRule="auto" w:line="276" w:before="120" w:after="120"/>
        <w:jc w:val="both"/>
        <w:rPr>
          <w:rFonts w:cs="Arial"/>
          <w:szCs w:val="20"/>
        </w:rPr>
      </w:pPr>
      <w:r>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Normal"/>
        <w:numPr>
          <w:ilvl w:val="2"/>
          <w:numId w:val="2"/>
        </w:numPr>
        <w:spacing w:lineRule="auto" w:line="276" w:before="120" w:after="120"/>
        <w:jc w:val="both"/>
        <w:rPr>
          <w:rFonts w:cs="Arial"/>
          <w:szCs w:val="20"/>
        </w:rPr>
      </w:pPr>
      <w:r>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Nivel1"/>
        <w:numPr>
          <w:ilvl w:val="0"/>
          <w:numId w:val="2"/>
        </w:numPr>
        <w:spacing w:lineRule="auto" w:line="360"/>
        <w:rPr>
          <w:rFonts w:cs="Arial"/>
        </w:rPr>
      </w:pPr>
      <w:r>
        <w:rPr>
          <w:rFonts w:cs="Arial"/>
        </w:rPr>
        <w:t xml:space="preserve">DA SUBCONTRATAÇÃO  </w:t>
      </w:r>
    </w:p>
    <w:p>
      <w:pPr>
        <w:pStyle w:val="Nivel1"/>
        <w:numPr>
          <w:ilvl w:val="1"/>
          <w:numId w:val="2"/>
        </w:numPr>
        <w:spacing w:before="0" w:after="120"/>
        <w:ind w:left="851" w:hanging="432"/>
        <w:rPr>
          <w:rFonts w:cs="Arial"/>
          <w:b w:val="false"/>
          <w:b w:val="false"/>
          <w:i/>
          <w:i/>
          <w:color w:val="auto"/>
        </w:rPr>
      </w:pPr>
      <w:r>
        <w:rPr>
          <w:rFonts w:cs="Arial"/>
          <w:b w:val="false"/>
          <w:i/>
          <w:color w:val="auto"/>
        </w:rPr>
        <w:t>Não será admitida a subcontratação do objeto licitatório.</w:t>
      </w:r>
    </w:p>
    <w:p>
      <w:pPr>
        <w:pStyle w:val="Nivel1"/>
        <w:numPr>
          <w:ilvl w:val="0"/>
          <w:numId w:val="2"/>
        </w:numPr>
        <w:rPr>
          <w:rFonts w:cs="Arial"/>
          <w:lang w:eastAsia="en-US"/>
        </w:rPr>
      </w:pPr>
      <w:r>
        <w:rPr>
          <w:rFonts w:cs="Arial"/>
          <w:lang w:eastAsia="en-US"/>
        </w:rPr>
        <w:t>ALTERAÇÃO SUBJETIVA</w:t>
      </w:r>
    </w:p>
    <w:p>
      <w:pPr>
        <w:pStyle w:val="Normal"/>
        <w:numPr>
          <w:ilvl w:val="1"/>
          <w:numId w:val="2"/>
        </w:numPr>
        <w:spacing w:lineRule="auto" w:line="276" w:before="120" w:after="120"/>
        <w:ind w:left="851" w:hanging="426"/>
        <w:jc w:val="both"/>
        <w:rPr>
          <w:rFonts w:cs="Arial"/>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ivel1"/>
        <w:numPr>
          <w:ilvl w:val="0"/>
          <w:numId w:val="2"/>
        </w:numPr>
        <w:rPr>
          <w:rFonts w:cs="Arial"/>
          <w:lang w:eastAsia="en-US"/>
        </w:rPr>
      </w:pPr>
      <w:r>
        <w:rPr>
          <w:rFonts w:cs="Arial"/>
          <w:lang w:eastAsia="en-US"/>
        </w:rPr>
        <w:t xml:space="preserve">CONTROLE E FISCALIZAÇÃO DA EXECUÇÃO </w:t>
      </w:r>
    </w:p>
    <w:p>
      <w:pPr>
        <w:pStyle w:val="Normal"/>
        <w:numPr>
          <w:ilvl w:val="1"/>
          <w:numId w:val="2"/>
        </w:numPr>
        <w:spacing w:lineRule="auto" w:line="276" w:before="120" w:after="120"/>
        <w:ind w:left="425" w:hanging="0"/>
        <w:jc w:val="both"/>
        <w:rPr>
          <w:rFonts w:cs="Arial"/>
          <w:szCs w:val="20"/>
          <w:lang w:eastAsia="en-US"/>
        </w:rPr>
      </w:pPr>
      <w:r>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Normal"/>
        <w:numPr>
          <w:ilvl w:val="1"/>
          <w:numId w:val="2"/>
        </w:numPr>
        <w:spacing w:lineRule="auto" w:line="276" w:before="120" w:after="120"/>
        <w:ind w:left="425" w:hanging="0"/>
        <w:jc w:val="both"/>
        <w:rPr>
          <w:rFonts w:cs="Arial"/>
          <w:szCs w:val="20"/>
          <w:lang w:eastAsia="en-US"/>
        </w:rPr>
      </w:pPr>
      <w:r>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pPr>
        <w:pStyle w:val="Normal"/>
        <w:numPr>
          <w:ilvl w:val="1"/>
          <w:numId w:val="2"/>
        </w:numPr>
        <w:spacing w:lineRule="auto" w:line="276" w:before="120" w:after="120"/>
        <w:ind w:left="425" w:hanging="0"/>
        <w:jc w:val="both"/>
        <w:rPr>
          <w:rFonts w:cs="Arial"/>
          <w:szCs w:val="20"/>
          <w:lang w:eastAsia="en-US"/>
        </w:rPr>
      </w:pPr>
      <w:r>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pPr>
        <w:pStyle w:val="Normal"/>
        <w:numPr>
          <w:ilvl w:val="1"/>
          <w:numId w:val="2"/>
        </w:numPr>
        <w:spacing w:lineRule="auto" w:line="276" w:before="120" w:after="120"/>
        <w:ind w:left="425" w:hanging="0"/>
        <w:jc w:val="both"/>
        <w:rPr>
          <w:rFonts w:cs="Arial"/>
          <w:szCs w:val="20"/>
          <w:lang w:eastAsia="en-US"/>
        </w:rPr>
      </w:pPr>
      <w:r>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pPr>
        <w:pStyle w:val="Normal"/>
        <w:numPr>
          <w:ilvl w:val="1"/>
          <w:numId w:val="2"/>
        </w:numPr>
        <w:spacing w:lineRule="auto" w:line="276" w:before="120" w:after="120"/>
        <w:ind w:left="425" w:hanging="0"/>
        <w:jc w:val="both"/>
        <w:rPr>
          <w:rFonts w:cs="Arial"/>
          <w:szCs w:val="20"/>
        </w:rPr>
      </w:pPr>
      <w:r>
        <w:rPr>
          <w:rFonts w:cs="Arial"/>
          <w:szCs w:val="20"/>
          <w:lang w:eastAsia="en-US"/>
        </w:rPr>
        <w:t xml:space="preserve">As atividades de gestão e fiscalização da execução contratual devem ser realizadas de forma preventiva, rotineira </w:t>
      </w:r>
      <w:r>
        <w:rPr>
          <w:rFonts w:cs="Arial"/>
          <w:szCs w:val="20"/>
        </w:rPr>
        <w:t xml:space="preserve">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numPr>
          <w:ilvl w:val="1"/>
          <w:numId w:val="2"/>
        </w:numPr>
        <w:spacing w:lineRule="auto" w:line="276" w:before="120" w:after="120"/>
        <w:ind w:left="425" w:hanging="0"/>
        <w:jc w:val="both"/>
        <w:rPr>
          <w:rFonts w:cs="Arial"/>
        </w:rPr>
      </w:pPr>
      <w:r>
        <w:rPr>
          <w:rFonts w:cs="Arial"/>
          <w:szCs w:val="20"/>
        </w:rPr>
        <w:t xml:space="preserve">A fiscalização técnica dos contratos avaliará constantemente a execução do objeto. </w:t>
      </w:r>
    </w:p>
    <w:p>
      <w:pPr>
        <w:pStyle w:val="Normal"/>
        <w:numPr>
          <w:ilvl w:val="1"/>
          <w:numId w:val="2"/>
        </w:numPr>
        <w:spacing w:lineRule="auto" w:line="276" w:before="120" w:after="120"/>
        <w:ind w:left="425" w:hanging="0"/>
        <w:jc w:val="both"/>
        <w:rPr>
          <w:rFonts w:cs="Arial"/>
          <w:szCs w:val="20"/>
        </w:rPr>
      </w:pPr>
      <w:r>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pPr>
        <w:pStyle w:val="Normal"/>
        <w:numPr>
          <w:ilvl w:val="1"/>
          <w:numId w:val="2"/>
        </w:numPr>
        <w:spacing w:lineRule="auto" w:line="276" w:before="120" w:after="120"/>
        <w:ind w:left="425" w:hanging="0"/>
        <w:jc w:val="both"/>
        <w:rPr>
          <w:rFonts w:cs="Arial"/>
          <w:szCs w:val="20"/>
        </w:rPr>
      </w:pPr>
      <w:r>
        <w:rPr>
          <w:rFonts w:cs="Arial"/>
          <w:szCs w:val="20"/>
        </w:rPr>
        <w:t xml:space="preserve">O fiscal técnico deverá apresentar ao preposto da CONTRATADA a avaliação da execução do objeto ou, se for o caso, a avaliação de desempenho e qualidade da prestação dos serviços realizada. </w:t>
      </w:r>
    </w:p>
    <w:p>
      <w:pPr>
        <w:pStyle w:val="Normal"/>
        <w:numPr>
          <w:ilvl w:val="1"/>
          <w:numId w:val="2"/>
        </w:numPr>
        <w:spacing w:lineRule="auto" w:line="276" w:before="120" w:after="120"/>
        <w:ind w:left="425" w:hanging="0"/>
        <w:jc w:val="both"/>
        <w:rPr>
          <w:rFonts w:cs="Arial"/>
          <w:szCs w:val="20"/>
        </w:rPr>
      </w:pPr>
      <w:r>
        <w:rPr>
          <w:rFonts w:cs="Arial"/>
          <w:szCs w:val="20"/>
        </w:rPr>
        <w:t xml:space="preserve">Em hipótese alguma, será admitido que a própria CONTRATADA materialize a avaliação de desempenho e qualidade da prestação dos serviços realizada. </w:t>
      </w:r>
    </w:p>
    <w:p>
      <w:pPr>
        <w:pStyle w:val="Normal"/>
        <w:numPr>
          <w:ilvl w:val="1"/>
          <w:numId w:val="2"/>
        </w:numPr>
        <w:spacing w:lineRule="auto" w:line="276" w:before="120" w:after="120"/>
        <w:ind w:left="425" w:hanging="0"/>
        <w:jc w:val="both"/>
        <w:rPr>
          <w:rFonts w:cs="Arial"/>
          <w:szCs w:val="20"/>
        </w:rPr>
      </w:pPr>
      <w:r>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pPr>
        <w:pStyle w:val="Normal"/>
        <w:numPr>
          <w:ilvl w:val="1"/>
          <w:numId w:val="2"/>
        </w:numPr>
        <w:spacing w:lineRule="auto" w:line="276" w:before="120" w:after="120"/>
        <w:ind w:left="425" w:hanging="0"/>
        <w:jc w:val="both"/>
        <w:rPr>
          <w:rFonts w:cs="Arial"/>
          <w:szCs w:val="20"/>
        </w:rPr>
      </w:pPr>
      <w:r>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 </w:t>
      </w:r>
    </w:p>
    <w:p>
      <w:pPr>
        <w:pStyle w:val="Normal"/>
        <w:numPr>
          <w:ilvl w:val="1"/>
          <w:numId w:val="2"/>
        </w:numPr>
        <w:spacing w:lineRule="auto" w:line="276" w:before="120" w:after="120"/>
        <w:ind w:left="425" w:hanging="0"/>
        <w:jc w:val="both"/>
        <w:rPr>
          <w:rFonts w:cs="Arial"/>
          <w:szCs w:val="20"/>
        </w:rPr>
      </w:pPr>
      <w:r>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pPr>
        <w:pStyle w:val="ListParagraph"/>
        <w:numPr>
          <w:ilvl w:val="1"/>
          <w:numId w:val="2"/>
        </w:numPr>
        <w:spacing w:lineRule="auto" w:line="276" w:before="120" w:after="120"/>
        <w:ind w:left="425" w:hanging="0"/>
        <w:contextualSpacing/>
        <w:jc w:val="both"/>
        <w:rPr>
          <w:rFonts w:cs="Arial"/>
          <w:szCs w:val="20"/>
        </w:rPr>
      </w:pPr>
      <w:r>
        <w:rPr>
          <w:rFonts w:cs="Arial"/>
          <w:szCs w:val="20"/>
        </w:rPr>
        <w:t>As disposições previstas nesta cláusula não excluem o disposto no Anexo VIII da Instrução Normativa SEGES/MP nº 05, de 2017, aplicável no que for pertinente à contratação.</w:t>
      </w:r>
    </w:p>
    <w:p>
      <w:pPr>
        <w:pStyle w:val="Normal"/>
        <w:numPr>
          <w:ilvl w:val="1"/>
          <w:numId w:val="2"/>
        </w:numPr>
        <w:spacing w:lineRule="auto" w:line="276" w:before="120" w:after="120"/>
        <w:ind w:left="425" w:hanging="0"/>
        <w:jc w:val="both"/>
        <w:rPr>
          <w:rFonts w:cs="Arial"/>
          <w:szCs w:val="20"/>
        </w:rPr>
      </w:pPr>
      <w:r>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pPr>
        <w:pStyle w:val="Nivel1"/>
        <w:numPr>
          <w:ilvl w:val="0"/>
          <w:numId w:val="2"/>
        </w:numPr>
        <w:rPr>
          <w:rFonts w:cs="Arial"/>
          <w:lang w:eastAsia="en-US"/>
        </w:rPr>
      </w:pPr>
      <w:r>
        <w:rPr>
          <w:rFonts w:cs="Arial"/>
          <w:lang w:eastAsia="en-US"/>
        </w:rPr>
        <w:t>DOS CRITÉRIOS DE AFERIÇÃO E MEDIÇÃO PARA FATURAMENTO</w:t>
      </w:r>
    </w:p>
    <w:p>
      <w:pPr>
        <w:pStyle w:val="Normal"/>
        <w:numPr>
          <w:ilvl w:val="1"/>
          <w:numId w:val="2"/>
        </w:numPr>
        <w:spacing w:lineRule="auto" w:line="276" w:before="120" w:after="120"/>
        <w:ind w:left="425" w:hanging="0"/>
        <w:jc w:val="both"/>
        <w:rPr>
          <w:rFonts w:cs="Arial"/>
          <w:szCs w:val="20"/>
        </w:rPr>
      </w:pPr>
      <w:r>
        <w:rPr>
          <w:rFonts w:cs="Arial"/>
          <w:szCs w:val="20"/>
        </w:rPr>
        <w:t xml:space="preserve">Nesta contratação a avaliação da execução do objeto não utilizará Instrumento de </w:t>
      </w:r>
      <w:r>
        <w:rPr>
          <w:rFonts w:cs="Arial"/>
          <w:szCs w:val="20"/>
          <w:lang w:eastAsia="en-US"/>
        </w:rPr>
        <w:t>Medição</w:t>
      </w:r>
      <w:r>
        <w:rPr>
          <w:rFonts w:cs="Arial"/>
          <w:szCs w:val="20"/>
        </w:rPr>
        <w:t xml:space="preserve"> de Resultado (IMR), devido já haver legislação da ANATEL que trata dos descontos em caso da execução parcial do serviço contratado, devendo haver o redimensionamento no pagamento com base na legislação estabelecida.</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pPr>
        <w:pStyle w:val="Normal"/>
        <w:numPr>
          <w:ilvl w:val="2"/>
          <w:numId w:val="2"/>
        </w:numPr>
        <w:spacing w:lineRule="auto" w:line="276" w:before="120" w:after="120"/>
        <w:jc w:val="both"/>
        <w:rPr>
          <w:rFonts w:cs="Arial"/>
          <w:color w:val="000000"/>
          <w:szCs w:val="20"/>
        </w:rPr>
      </w:pPr>
      <w:r>
        <w:rPr>
          <w:rFonts w:cs="Arial"/>
          <w:color w:val="000000"/>
          <w:szCs w:val="20"/>
        </w:rPr>
        <w:t>não produziu os resultados acordados;</w:t>
      </w:r>
    </w:p>
    <w:p>
      <w:pPr>
        <w:pStyle w:val="Normal"/>
        <w:numPr>
          <w:ilvl w:val="2"/>
          <w:numId w:val="2"/>
        </w:numPr>
        <w:spacing w:lineRule="auto" w:line="276" w:before="120" w:after="120"/>
        <w:jc w:val="both"/>
        <w:rPr>
          <w:rFonts w:cs="Arial"/>
          <w:color w:val="000000"/>
          <w:szCs w:val="20"/>
        </w:rPr>
      </w:pPr>
      <w:r>
        <w:rPr>
          <w:rFonts w:cs="Arial"/>
          <w:color w:val="000000"/>
          <w:szCs w:val="20"/>
        </w:rPr>
        <w:t>deixou de executar as atividades contratadas, ou não as executou com a qualidade mínima exigida;</w:t>
      </w:r>
    </w:p>
    <w:p>
      <w:pPr>
        <w:pStyle w:val="Nivel1"/>
        <w:numPr>
          <w:ilvl w:val="0"/>
          <w:numId w:val="2"/>
        </w:numPr>
        <w:rPr>
          <w:rFonts w:cs="Arial"/>
          <w:lang w:eastAsia="en-US"/>
        </w:rPr>
      </w:pPr>
      <w:r>
        <w:rPr>
          <w:rFonts w:cs="Arial"/>
          <w:color w:val="auto"/>
        </w:rPr>
        <w:t xml:space="preserve">DO RECEBIMENTO E ACEITAÇÃO DO OBJETO  </w:t>
      </w:r>
    </w:p>
    <w:p>
      <w:pPr>
        <w:pStyle w:val="Normal"/>
        <w:numPr>
          <w:ilvl w:val="1"/>
          <w:numId w:val="2"/>
        </w:numPr>
        <w:spacing w:lineRule="auto" w:line="276" w:before="120" w:after="120"/>
        <w:ind w:left="425" w:hanging="0"/>
        <w:jc w:val="both"/>
        <w:rPr>
          <w:rFonts w:cs="Arial"/>
          <w:color w:val="000000" w:themeColor="text1"/>
          <w:szCs w:val="20"/>
          <w:lang w:eastAsia="en-US"/>
        </w:rPr>
      </w:pPr>
      <w:r>
        <w:rPr>
          <w:rFonts w:cs="Arial"/>
          <w:iCs/>
          <w:szCs w:val="20"/>
        </w:rPr>
        <w:t xml:space="preserve">A emissão da Nota Fiscal/Fatura deve ser precedida do recebimento definitivo do objeto contratual, nos termos abaixo. </w:t>
      </w:r>
    </w:p>
    <w:p>
      <w:pPr>
        <w:pStyle w:val="Normal"/>
        <w:numPr>
          <w:ilvl w:val="1"/>
          <w:numId w:val="2"/>
        </w:numPr>
        <w:spacing w:lineRule="auto" w:line="276" w:before="120" w:after="120"/>
        <w:ind w:left="425" w:hanging="0"/>
        <w:jc w:val="both"/>
        <w:rPr>
          <w:rFonts w:cs="Arial"/>
          <w:color w:val="000000" w:themeColor="text1"/>
          <w:szCs w:val="20"/>
          <w:lang w:eastAsia="en-US"/>
        </w:rPr>
      </w:pPr>
      <w:r>
        <w:rPr>
          <w:rFonts w:cs="Arial"/>
          <w:iCs/>
          <w:szCs w:val="20"/>
        </w:rPr>
        <w:t>No</w:t>
      </w:r>
      <w:r>
        <w:rPr>
          <w:rFonts w:cs="Arial"/>
          <w:color w:val="000000"/>
          <w:szCs w:val="20"/>
          <w:lang w:eastAsia="en-US"/>
        </w:rPr>
        <w:t xml:space="preserve"> prazo de até </w:t>
      </w:r>
      <w:r>
        <w:rPr>
          <w:rFonts w:cs="Arial"/>
          <w:szCs w:val="20"/>
          <w:lang w:eastAsia="en-US"/>
        </w:rPr>
        <w:t xml:space="preserve">5 dias corridos </w:t>
      </w:r>
      <w:r>
        <w:rPr>
          <w:rFonts w:cs="Arial"/>
          <w:color w:val="000000"/>
          <w:szCs w:val="20"/>
          <w:lang w:eastAsia="en-US"/>
        </w:rPr>
        <w:t xml:space="preserve">do adimplemento da parcela, a CONTRATADA deverá entregar toda a documentação comprobatória do cumprimento da obrigação contratual;  </w:t>
      </w:r>
    </w:p>
    <w:p>
      <w:pPr>
        <w:pStyle w:val="Normal"/>
        <w:numPr>
          <w:ilvl w:val="1"/>
          <w:numId w:val="2"/>
        </w:numPr>
        <w:spacing w:lineRule="auto" w:line="276" w:before="120" w:after="120"/>
        <w:ind w:left="425" w:hanging="0"/>
        <w:jc w:val="both"/>
        <w:rPr>
          <w:rFonts w:cs="Arial"/>
          <w:color w:val="000000" w:themeColor="text1"/>
          <w:szCs w:val="20"/>
          <w:lang w:eastAsia="en-US"/>
        </w:rPr>
      </w:pPr>
      <w:r>
        <w:rPr>
          <w:rFonts w:cs="Arial"/>
          <w:szCs w:val="20"/>
        </w:rPr>
        <w:t>O recebimento provisório será realizado pelo fiscal técnico e setorial ou pela equipe de fiscalização após a entrega da documentação acima, da seguinte forma:</w:t>
      </w:r>
    </w:p>
    <w:p>
      <w:pPr>
        <w:pStyle w:val="Normal"/>
        <w:numPr>
          <w:ilvl w:val="2"/>
          <w:numId w:val="2"/>
        </w:numPr>
        <w:spacing w:lineRule="auto" w:line="276" w:before="120" w:after="120"/>
        <w:jc w:val="both"/>
        <w:rPr>
          <w:rFonts w:cs="Arial"/>
          <w:color w:val="000000" w:themeColor="text1"/>
          <w:szCs w:val="20"/>
          <w:lang w:eastAsia="en-US"/>
        </w:rPr>
      </w:pPr>
      <w:r>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pPr>
        <w:pStyle w:val="Normal"/>
        <w:numPr>
          <w:ilvl w:val="3"/>
          <w:numId w:val="2"/>
        </w:numPr>
        <w:spacing w:lineRule="auto" w:line="276" w:before="120" w:after="120"/>
        <w:jc w:val="both"/>
        <w:rPr>
          <w:rFonts w:cs="Arial"/>
          <w:color w:val="000000" w:themeColor="text1"/>
          <w:szCs w:val="20"/>
          <w:lang w:eastAsia="en-US"/>
        </w:rPr>
      </w:pPr>
      <w:r>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Normal"/>
        <w:numPr>
          <w:ilvl w:val="3"/>
          <w:numId w:val="2"/>
        </w:numPr>
        <w:spacing w:lineRule="auto" w:line="276" w:before="120" w:after="120"/>
        <w:jc w:val="both"/>
        <w:rPr>
          <w:rFonts w:cs="Arial"/>
          <w:color w:val="000000"/>
          <w:szCs w:val="20"/>
          <w:lang w:eastAsia="en-US"/>
        </w:rPr>
      </w:pPr>
      <w:r>
        <w:rPr>
          <w:rFonts w:cs="Arial"/>
          <w:color w:val="00000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ListParagraph"/>
        <w:numPr>
          <w:ilvl w:val="3"/>
          <w:numId w:val="2"/>
        </w:numPr>
        <w:spacing w:lineRule="auto" w:line="276" w:before="120" w:after="120"/>
        <w:contextualSpacing/>
        <w:jc w:val="both"/>
        <w:rPr>
          <w:rFonts w:cs="Arial"/>
          <w:color w:val="000000"/>
          <w:szCs w:val="20"/>
          <w:lang w:eastAsia="en-US"/>
        </w:rPr>
      </w:pPr>
      <w:r>
        <w:rPr>
          <w:rFonts w:cs="Arial"/>
          <w:color w:val="000000"/>
          <w:szCs w:val="20"/>
          <w:lang w:eastAsia="en-US"/>
        </w:rPr>
        <w:t>O recebimento provisório também ficará sujeito, quando cabível, à conclusão de todos os testes de campo e à entrega dos Manuais e Instruções exigíveis.</w:t>
      </w:r>
    </w:p>
    <w:p>
      <w:pPr>
        <w:pStyle w:val="Normal"/>
        <w:numPr>
          <w:ilvl w:val="2"/>
          <w:numId w:val="2"/>
        </w:numPr>
        <w:spacing w:lineRule="auto" w:line="276" w:before="120" w:after="120"/>
        <w:jc w:val="both"/>
        <w:rPr>
          <w:rFonts w:cs="Arial"/>
          <w:color w:val="000000" w:themeColor="text1"/>
          <w:szCs w:val="20"/>
          <w:lang w:eastAsia="en-US"/>
        </w:rPr>
      </w:pPr>
      <w:r>
        <w:rPr>
          <w:rFonts w:cs="Arial"/>
          <w:color w:val="000000"/>
          <w:szCs w:val="20"/>
          <w:lang w:eastAsia="en-US"/>
        </w:rPr>
        <w:t xml:space="preserve">No prazo de até </w:t>
      </w:r>
      <w:r>
        <w:rPr>
          <w:rFonts w:cs="Arial"/>
          <w:szCs w:val="20"/>
          <w:lang w:eastAsia="en-US"/>
        </w:rPr>
        <w:t xml:space="preserve">10 dias corridos </w:t>
      </w:r>
      <w:r>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pPr>
        <w:pStyle w:val="Normal"/>
        <w:numPr>
          <w:ilvl w:val="3"/>
          <w:numId w:val="2"/>
        </w:numPr>
        <w:spacing w:lineRule="auto" w:line="276" w:before="120" w:after="120"/>
        <w:jc w:val="both"/>
        <w:rPr>
          <w:rFonts w:cs="Arial"/>
          <w:color w:val="000000" w:themeColor="text1"/>
          <w:szCs w:val="20"/>
          <w:lang w:eastAsia="en-US"/>
        </w:rPr>
      </w:pPr>
      <w:r>
        <w:rPr>
          <w:rFonts w:cs="Arial"/>
          <w:szCs w:val="20"/>
        </w:rPr>
        <w:t xml:space="preserve">quando a fiscalização for exercida por um único servidor, o relatório circunstanciado </w:t>
      </w:r>
      <w:r>
        <w:rPr>
          <w:rFonts w:cs="Arial"/>
          <w:color w:val="000000"/>
          <w:szCs w:val="20"/>
          <w:lang w:eastAsia="en-US"/>
        </w:rPr>
        <w:t>deverá</w:t>
      </w:r>
      <w:r>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Normal"/>
        <w:numPr>
          <w:ilvl w:val="3"/>
          <w:numId w:val="2"/>
        </w:numPr>
        <w:spacing w:lineRule="auto" w:line="276" w:before="120" w:after="120"/>
        <w:jc w:val="both"/>
        <w:rPr>
          <w:rFonts w:cs="Arial"/>
          <w:color w:val="000000" w:themeColor="text1"/>
          <w:szCs w:val="20"/>
          <w:lang w:eastAsia="en-US"/>
        </w:rPr>
      </w:pPr>
      <w:r>
        <w:rPr>
          <w:rFonts w:cs="Arial"/>
          <w:szCs w:val="20"/>
        </w:rPr>
        <w:t xml:space="preserve">Será considerado como ocorrido o recebimento provisório com a entrega do relatório circunstanciado ou, em havendo mais de um a ser feito, com a entrega do último. </w:t>
      </w:r>
    </w:p>
    <w:p>
      <w:pPr>
        <w:pStyle w:val="ListParagraph"/>
        <w:numPr>
          <w:ilvl w:val="4"/>
          <w:numId w:val="2"/>
        </w:numPr>
        <w:spacing w:lineRule="auto" w:line="276" w:before="120" w:after="120"/>
        <w:contextualSpacing/>
        <w:jc w:val="both"/>
        <w:rPr>
          <w:rFonts w:cs="Arial"/>
          <w:color w:val="000000" w:themeColor="text1"/>
          <w:szCs w:val="20"/>
          <w:lang w:eastAsia="en-US"/>
        </w:rPr>
      </w:pPr>
      <w:r>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pPr>
        <w:pStyle w:val="Normal"/>
        <w:numPr>
          <w:ilvl w:val="1"/>
          <w:numId w:val="2"/>
        </w:numPr>
        <w:spacing w:lineRule="auto" w:line="276" w:before="120" w:after="120"/>
        <w:ind w:left="425" w:hanging="0"/>
        <w:jc w:val="both"/>
        <w:rPr>
          <w:rFonts w:cs="Arial"/>
          <w:color w:val="000000" w:themeColor="text1"/>
          <w:szCs w:val="20"/>
          <w:lang w:eastAsia="en-US"/>
        </w:rPr>
      </w:pPr>
      <w:r>
        <w:rPr>
          <w:rFonts w:cs="Arial"/>
          <w:color w:val="000000"/>
          <w:szCs w:val="20"/>
          <w:lang w:eastAsia="en-US"/>
        </w:rPr>
        <w:t xml:space="preserve">No </w:t>
      </w:r>
      <w:r>
        <w:rPr>
          <w:rFonts w:cs="Arial"/>
          <w:iCs/>
          <w:szCs w:val="20"/>
        </w:rPr>
        <w:t>prazo</w:t>
      </w:r>
      <w:r>
        <w:rPr>
          <w:rFonts w:cs="Arial"/>
          <w:color w:val="000000"/>
          <w:szCs w:val="20"/>
          <w:lang w:eastAsia="en-US"/>
        </w:rPr>
        <w:t xml:space="preserve"> de até </w:t>
      </w:r>
      <w:r>
        <w:rPr>
          <w:rFonts w:cs="Arial"/>
          <w:szCs w:val="20"/>
          <w:lang w:eastAsia="en-US"/>
        </w:rPr>
        <w:t xml:space="preserve">10 (dez) dias corridos </w:t>
      </w:r>
      <w:r>
        <w:rPr>
          <w:rFonts w:cs="Arial"/>
          <w:color w:val="00000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pPr>
        <w:pStyle w:val="Normal"/>
        <w:numPr>
          <w:ilvl w:val="2"/>
          <w:numId w:val="2"/>
        </w:numPr>
        <w:spacing w:lineRule="auto" w:line="276" w:before="120" w:after="120"/>
        <w:jc w:val="both"/>
        <w:rPr>
          <w:rFonts w:cs="Arial"/>
          <w:color w:val="000000"/>
          <w:szCs w:val="20"/>
          <w:lang w:eastAsia="en-US"/>
        </w:rPr>
      </w:pPr>
      <w:r>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pPr>
        <w:pStyle w:val="Normal"/>
        <w:numPr>
          <w:ilvl w:val="2"/>
          <w:numId w:val="2"/>
        </w:numPr>
        <w:spacing w:lineRule="auto" w:line="276" w:before="120" w:after="120"/>
        <w:jc w:val="both"/>
        <w:rPr>
          <w:rFonts w:cs="Arial"/>
          <w:color w:val="000000"/>
          <w:szCs w:val="20"/>
          <w:lang w:eastAsia="en-US"/>
        </w:rPr>
      </w:pPr>
      <w:r>
        <w:rPr>
          <w:rFonts w:cs="Arial"/>
          <w:color w:val="000000"/>
          <w:szCs w:val="20"/>
          <w:lang w:eastAsia="en-US"/>
        </w:rPr>
        <w:t xml:space="preserve">Emitir Termo Circunstanciado para efeito de recebimento definitivo dos serviços prestados, com base nos relatórios e documentações apresentadas; e </w:t>
      </w:r>
    </w:p>
    <w:p>
      <w:pPr>
        <w:pStyle w:val="Normal"/>
        <w:numPr>
          <w:ilvl w:val="2"/>
          <w:numId w:val="2"/>
        </w:numPr>
        <w:spacing w:lineRule="auto" w:line="276" w:before="120" w:after="120"/>
        <w:jc w:val="both"/>
        <w:rPr>
          <w:rFonts w:cs="Arial"/>
          <w:color w:val="000000"/>
          <w:szCs w:val="20"/>
          <w:lang w:eastAsia="en-US"/>
        </w:rPr>
      </w:pPr>
      <w:r>
        <w:rPr>
          <w:rFonts w:cs="Arial"/>
          <w:color w:val="000000"/>
          <w:szCs w:val="20"/>
          <w:lang w:eastAsia="en-US"/>
        </w:rPr>
        <w:t xml:space="preserve">Comunicar a empresa para que emita a Nota Fiscal ou Fatura, com o valor exato dimensionado pela </w:t>
      </w:r>
      <w:r>
        <w:rPr>
          <w:rFonts w:cs="Arial"/>
          <w:szCs w:val="20"/>
          <w:lang w:eastAsia="en-US"/>
        </w:rPr>
        <w:t xml:space="preserve">fiscalização, </w:t>
      </w:r>
      <w:r>
        <w:rPr>
          <w:rFonts w:cs="Arial"/>
          <w:szCs w:val="20"/>
        </w:rPr>
        <w:t>com base no Instrumento de Medição de Resultado (IMR), ou instrumento substituto</w:t>
      </w:r>
      <w:r>
        <w:rPr/>
        <w:t>.</w:t>
      </w:r>
    </w:p>
    <w:p>
      <w:pPr>
        <w:pStyle w:val="Normal"/>
        <w:numPr>
          <w:ilvl w:val="1"/>
          <w:numId w:val="2"/>
        </w:numPr>
        <w:spacing w:lineRule="auto" w:line="276" w:before="120" w:after="120"/>
        <w:ind w:left="425" w:hanging="0"/>
        <w:jc w:val="both"/>
        <w:rPr>
          <w:rFonts w:cs="Arial"/>
          <w:szCs w:val="20"/>
        </w:rPr>
      </w:pPr>
      <w:r>
        <w:rPr>
          <w:rFonts w:cs="Arial"/>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pPr>
        <w:pStyle w:val="Normal"/>
        <w:numPr>
          <w:ilvl w:val="1"/>
          <w:numId w:val="2"/>
        </w:numPr>
        <w:spacing w:lineRule="auto" w:line="276" w:before="120" w:after="120"/>
        <w:ind w:left="425" w:hanging="0"/>
        <w:jc w:val="both"/>
        <w:rPr>
          <w:rFonts w:cs="Arial"/>
          <w:szCs w:val="20"/>
        </w:rPr>
      </w:pPr>
      <w:r>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pPr>
        <w:pStyle w:val="Nivel1"/>
        <w:numPr>
          <w:ilvl w:val="0"/>
          <w:numId w:val="2"/>
        </w:numPr>
        <w:rPr>
          <w:rFonts w:cs="Arial"/>
          <w:color w:val="auto"/>
        </w:rPr>
      </w:pPr>
      <w:r>
        <w:rPr>
          <w:rFonts w:cs="Arial"/>
          <w:color w:val="auto"/>
        </w:rPr>
        <w:t>DO PAGAMENTO</w:t>
      </w:r>
    </w:p>
    <w:p>
      <w:pPr>
        <w:pStyle w:val="Normal"/>
        <w:numPr>
          <w:ilvl w:val="1"/>
          <w:numId w:val="2"/>
        </w:numPr>
        <w:spacing w:lineRule="auto" w:line="276" w:before="120" w:after="120"/>
        <w:ind w:left="425" w:hanging="0"/>
        <w:jc w:val="both"/>
        <w:rPr>
          <w:rFonts w:eastAsia="Arial" w:cs="Arial"/>
          <w:szCs w:val="20"/>
        </w:rPr>
      </w:pPr>
      <w:r>
        <w:rPr>
          <w:rFonts w:cs="Arial"/>
          <w:iCs/>
          <w:szCs w:val="20"/>
        </w:rPr>
        <w:t>A emissão da Nota Fiscal/Fatura será precedida do recebimento definitivo do serviço, conforme este Termo de Referência.</w:t>
      </w:r>
    </w:p>
    <w:p>
      <w:pPr>
        <w:pStyle w:val="Normal"/>
        <w:numPr>
          <w:ilvl w:val="1"/>
          <w:numId w:val="2"/>
        </w:numPr>
        <w:spacing w:lineRule="auto" w:line="276" w:before="120" w:after="120"/>
        <w:ind w:left="425" w:hanging="0"/>
        <w:jc w:val="both"/>
        <w:rPr>
          <w:rFonts w:cs="Arial"/>
          <w:szCs w:val="20"/>
        </w:rPr>
      </w:pPr>
      <w:r>
        <w:rPr>
          <w:rFonts w:cs="Arial"/>
          <w:szCs w:val="20"/>
        </w:rPr>
        <w:t xml:space="preserve">Quando houver glosa parcial dos serviços, a contratante deverá comunicar a empresa para que emita a nota </w:t>
      </w:r>
      <w:r>
        <w:rPr>
          <w:rFonts w:cs="Arial"/>
          <w:iCs/>
          <w:szCs w:val="20"/>
        </w:rPr>
        <w:t>fiscal</w:t>
      </w:r>
      <w:r>
        <w:rPr>
          <w:rFonts w:cs="Arial"/>
          <w:szCs w:val="20"/>
        </w:rPr>
        <w:t xml:space="preserve"> ou fatura com o valor exato dimensionado. </w:t>
      </w:r>
    </w:p>
    <w:p>
      <w:pPr>
        <w:pStyle w:val="Normal"/>
        <w:numPr>
          <w:ilvl w:val="1"/>
          <w:numId w:val="2"/>
        </w:numPr>
        <w:spacing w:lineRule="auto" w:line="276" w:before="120" w:after="120"/>
        <w:ind w:left="425" w:hanging="0"/>
        <w:jc w:val="both"/>
        <w:rPr>
          <w:rFonts w:eastAsia="Arial" w:cs="Arial"/>
          <w:szCs w:val="20"/>
        </w:rPr>
      </w:pPr>
      <w:r>
        <w:rPr>
          <w:rFonts w:cs="Arial"/>
          <w:color w:val="000000" w:themeColor="text1"/>
          <w:szCs w:val="20"/>
        </w:rPr>
        <w:t xml:space="preserve">O </w:t>
      </w:r>
      <w:r>
        <w:rPr>
          <w:rFonts w:cs="Arial"/>
          <w:szCs w:val="20"/>
        </w:rPr>
        <w:t>pagamento</w:t>
      </w:r>
      <w:r>
        <w:rPr>
          <w:rFonts w:cs="Arial"/>
          <w:color w:val="000000" w:themeColor="text1"/>
          <w:szCs w:val="20"/>
        </w:rPr>
        <w:t xml:space="preserve"> será efetuado pela Contratante no prazo </w:t>
      </w:r>
      <w:r>
        <w:rPr>
          <w:rFonts w:cs="Arial"/>
          <w:szCs w:val="20"/>
        </w:rPr>
        <w:t>de</w:t>
      </w:r>
      <w:r>
        <w:rPr>
          <w:rFonts w:eastAsia="Arial" w:cs="Arial"/>
          <w:szCs w:val="20"/>
        </w:rPr>
        <w:t xml:space="preserve"> </w:t>
      </w:r>
      <w:r>
        <w:rPr>
          <w:rFonts w:eastAsia="Arial" w:cs="Arial"/>
          <w:iCs/>
          <w:szCs w:val="20"/>
        </w:rPr>
        <w:t>15 (quinze)</w:t>
      </w:r>
      <w:r>
        <w:rPr>
          <w:rFonts w:eastAsia="Arial" w:cs="Arial"/>
          <w:i/>
          <w:iCs/>
          <w:szCs w:val="20"/>
        </w:rPr>
        <w:t xml:space="preserve"> </w:t>
      </w:r>
      <w:r>
        <w:rPr>
          <w:rFonts w:cs="Arial"/>
          <w:color w:val="000000" w:themeColor="text1"/>
          <w:szCs w:val="20"/>
        </w:rPr>
        <w:t xml:space="preserve">dias, contados do recebimento da Nota Fiscal/Fatura. </w:t>
      </w:r>
    </w:p>
    <w:p>
      <w:pPr>
        <w:pStyle w:val="Normal"/>
        <w:numPr>
          <w:ilvl w:val="2"/>
          <w:numId w:val="2"/>
        </w:numPr>
        <w:spacing w:lineRule="auto" w:line="276" w:before="120" w:after="120"/>
        <w:jc w:val="both"/>
        <w:rPr>
          <w:rFonts w:cs="Arial"/>
          <w:szCs w:val="20"/>
        </w:rPr>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w:t>
      </w:r>
      <w:r>
        <w:rPr>
          <w:rFonts w:cs="Arial"/>
          <w:color w:val="000000"/>
          <w:szCs w:val="20"/>
          <w:lang w:eastAsia="en-US"/>
        </w:rPr>
        <w:t>de 1993.</w:t>
      </w:r>
    </w:p>
    <w:p>
      <w:pPr>
        <w:pStyle w:val="Normal"/>
        <w:numPr>
          <w:ilvl w:val="1"/>
          <w:numId w:val="2"/>
        </w:numPr>
        <w:spacing w:lineRule="auto" w:line="276" w:before="120" w:after="120"/>
        <w:ind w:left="425" w:hanging="0"/>
        <w:jc w:val="both"/>
        <w:rPr>
          <w:rFonts w:cs="Arial"/>
          <w:color w:val="000000"/>
          <w:szCs w:val="20"/>
        </w:rPr>
      </w:pPr>
      <w:r>
        <w:rPr>
          <w:rFonts w:cs="Arial"/>
          <w:color w:val="000000"/>
          <w:szCs w:val="20"/>
        </w:rPr>
        <w:t xml:space="preserve">A Nota Fiscal ou Fatura deverá ser obrigatoriamente acompanhada da comprovação da regularidade fiscal, constatada por meio de consulta on-line ao SICAF ou, na impossibilidade de acesso </w:t>
      </w:r>
      <w:r>
        <w:rPr>
          <w:rFonts w:cs="Arial"/>
          <w:color w:val="000000"/>
          <w:szCs w:val="20"/>
          <w:lang w:eastAsia="en-US"/>
        </w:rPr>
        <w:t>ao</w:t>
      </w:r>
      <w:r>
        <w:rPr>
          <w:rFonts w:cs="Arial"/>
          <w:color w:val="000000"/>
          <w:szCs w:val="20"/>
        </w:rPr>
        <w:t xml:space="preserve"> referido Sistema, mediante consulta aos sítios eletrônicos oficiais ou à documentação mencionada no art. 29 da Lei nº 8.666, de 1993. </w:t>
      </w:r>
    </w:p>
    <w:p>
      <w:pPr>
        <w:pStyle w:val="Normal"/>
        <w:numPr>
          <w:ilvl w:val="2"/>
          <w:numId w:val="2"/>
        </w:numPr>
        <w:spacing w:lineRule="auto" w:line="276" w:before="120" w:after="120"/>
        <w:jc w:val="both"/>
        <w:rPr>
          <w:rFonts w:cs="Arial"/>
          <w:color w:val="000000"/>
          <w:szCs w:val="20"/>
        </w:rPr>
      </w:pPr>
      <w:r>
        <w:rPr>
          <w:rFonts w:cs="Arial"/>
          <w:color w:val="000000"/>
          <w:szCs w:val="20"/>
        </w:rPr>
        <w:t xml:space="preserve">Constatando-se, junto ao SICAF, a situação de irregularidade do fornecedor contratado, deverão ser tomadas as providências previstas no do art. 31 da Instrução </w:t>
      </w:r>
      <w:r>
        <w:rPr>
          <w:rFonts w:cs="Arial"/>
          <w:color w:val="000000"/>
          <w:szCs w:val="20"/>
          <w:lang w:eastAsia="en-US"/>
        </w:rPr>
        <w:t>Normativa</w:t>
      </w:r>
      <w:r>
        <w:rPr>
          <w:rFonts w:cs="Arial"/>
          <w:color w:val="000000"/>
          <w:szCs w:val="20"/>
        </w:rPr>
        <w:t xml:space="preserve"> nº 3, de 26 de abril de 2018.</w:t>
      </w:r>
    </w:p>
    <w:p>
      <w:pPr>
        <w:pStyle w:val="Normal"/>
        <w:numPr>
          <w:ilvl w:val="1"/>
          <w:numId w:val="2"/>
        </w:numPr>
        <w:spacing w:lineRule="auto" w:line="276" w:before="120" w:after="120"/>
        <w:ind w:left="425" w:hanging="0"/>
        <w:jc w:val="both"/>
        <w:rPr>
          <w:rFonts w:cs="Arial"/>
          <w:color w:val="000000" w:themeColor="text1"/>
          <w:szCs w:val="20"/>
        </w:rPr>
      </w:pPr>
      <w:r>
        <w:rPr>
          <w:rFonts w:cs="Arial"/>
          <w:color w:val="000000"/>
          <w:szCs w:val="20"/>
        </w:rPr>
        <w:t xml:space="preserve">O setor competente para proceder o pagamento deve verificar se a Nota Fiscal ou Fatura apresentada expressa os elementos necessários e essenciais do documento, tais como: </w:t>
      </w:r>
    </w:p>
    <w:p>
      <w:pPr>
        <w:pStyle w:val="Normal"/>
        <w:numPr>
          <w:ilvl w:val="2"/>
          <w:numId w:val="2"/>
        </w:numPr>
        <w:spacing w:lineRule="auto" w:line="276" w:before="120" w:after="120"/>
        <w:jc w:val="both"/>
        <w:rPr>
          <w:rFonts w:cs="Arial"/>
          <w:color w:val="000000"/>
          <w:szCs w:val="20"/>
        </w:rPr>
      </w:pPr>
      <w:r>
        <w:rPr>
          <w:rFonts w:cs="Arial"/>
          <w:color w:val="000000"/>
          <w:szCs w:val="20"/>
        </w:rPr>
        <w:t xml:space="preserve">o prazo de validade; </w:t>
      </w:r>
    </w:p>
    <w:p>
      <w:pPr>
        <w:pStyle w:val="Normal"/>
        <w:numPr>
          <w:ilvl w:val="2"/>
          <w:numId w:val="2"/>
        </w:numPr>
        <w:spacing w:lineRule="auto" w:line="276" w:before="120" w:after="120"/>
        <w:jc w:val="both"/>
        <w:rPr>
          <w:rFonts w:cs="Arial"/>
          <w:color w:val="000000"/>
          <w:szCs w:val="20"/>
        </w:rPr>
      </w:pPr>
      <w:r>
        <w:rPr>
          <w:rFonts w:cs="Arial"/>
          <w:color w:val="000000"/>
          <w:szCs w:val="20"/>
        </w:rPr>
        <w:t xml:space="preserve">a data da emissão; </w:t>
      </w:r>
    </w:p>
    <w:p>
      <w:pPr>
        <w:pStyle w:val="Normal"/>
        <w:numPr>
          <w:ilvl w:val="2"/>
          <w:numId w:val="2"/>
        </w:numPr>
        <w:spacing w:lineRule="auto" w:line="276" w:before="120" w:after="120"/>
        <w:jc w:val="both"/>
        <w:rPr>
          <w:rFonts w:cs="Arial"/>
          <w:color w:val="000000"/>
          <w:szCs w:val="20"/>
        </w:rPr>
      </w:pPr>
      <w:r>
        <w:rPr>
          <w:rFonts w:cs="Arial"/>
          <w:color w:val="000000"/>
          <w:szCs w:val="20"/>
        </w:rPr>
        <w:t xml:space="preserve">os dados do contrato e do órgão contratante; </w:t>
      </w:r>
    </w:p>
    <w:p>
      <w:pPr>
        <w:pStyle w:val="Normal"/>
        <w:numPr>
          <w:ilvl w:val="2"/>
          <w:numId w:val="2"/>
        </w:numPr>
        <w:spacing w:lineRule="auto" w:line="276" w:before="120" w:after="120"/>
        <w:jc w:val="both"/>
        <w:rPr>
          <w:rFonts w:cs="Arial"/>
          <w:color w:val="000000"/>
          <w:szCs w:val="20"/>
        </w:rPr>
      </w:pPr>
      <w:r>
        <w:rPr>
          <w:rFonts w:cs="Arial"/>
          <w:color w:val="000000"/>
          <w:szCs w:val="20"/>
        </w:rPr>
        <w:t xml:space="preserve">o período de prestação dos serviços; </w:t>
      </w:r>
    </w:p>
    <w:p>
      <w:pPr>
        <w:pStyle w:val="Normal"/>
        <w:numPr>
          <w:ilvl w:val="2"/>
          <w:numId w:val="2"/>
        </w:numPr>
        <w:spacing w:lineRule="auto" w:line="276" w:before="120" w:after="120"/>
        <w:jc w:val="both"/>
        <w:rPr>
          <w:rFonts w:cs="Arial"/>
          <w:color w:val="000000"/>
          <w:szCs w:val="20"/>
        </w:rPr>
      </w:pPr>
      <w:r>
        <w:rPr>
          <w:rFonts w:cs="Arial"/>
          <w:color w:val="000000"/>
          <w:szCs w:val="20"/>
        </w:rPr>
        <w:t xml:space="preserve">o valor a pagar; e </w:t>
      </w:r>
    </w:p>
    <w:p>
      <w:pPr>
        <w:pStyle w:val="Normal"/>
        <w:numPr>
          <w:ilvl w:val="2"/>
          <w:numId w:val="2"/>
        </w:numPr>
        <w:spacing w:lineRule="auto" w:line="276" w:before="120" w:after="120"/>
        <w:jc w:val="both"/>
        <w:rPr>
          <w:rFonts w:cs="Arial"/>
          <w:color w:val="000000"/>
          <w:szCs w:val="20"/>
        </w:rPr>
      </w:pPr>
      <w:r>
        <w:rPr>
          <w:rFonts w:cs="Arial"/>
          <w:color w:val="000000"/>
          <w:szCs w:val="20"/>
        </w:rPr>
        <w:t>eventual destaque do valor de retenções tributárias cabíveis.</w:t>
      </w:r>
    </w:p>
    <w:p>
      <w:pPr>
        <w:pStyle w:val="Normal"/>
        <w:numPr>
          <w:ilvl w:val="1"/>
          <w:numId w:val="2"/>
        </w:numPr>
        <w:spacing w:lineRule="auto" w:line="276" w:before="120" w:after="120"/>
        <w:ind w:left="425" w:hanging="0"/>
        <w:jc w:val="both"/>
        <w:rPr>
          <w:rFonts w:cs="Arial"/>
          <w:szCs w:val="20"/>
          <w:lang w:eastAsia="en-US"/>
        </w:rPr>
      </w:pPr>
      <w:r>
        <w:rPr>
          <w:rFonts w:cs="Arial"/>
          <w:iCs/>
          <w:szCs w:val="20"/>
        </w:rPr>
        <w:t xml:space="preserve">Havendo erro </w:t>
      </w:r>
      <w:r>
        <w:rPr>
          <w:rFonts w:cs="Arial"/>
          <w:color w:val="000000"/>
          <w:szCs w:val="20"/>
        </w:rPr>
        <w:t>na</w:t>
      </w:r>
      <w:r>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2"/>
        </w:numPr>
        <w:spacing w:lineRule="auto" w:line="276" w:before="120" w:after="120"/>
        <w:ind w:left="425" w:hanging="0"/>
        <w:jc w:val="both"/>
        <w:rPr>
          <w:rFonts w:cs="Arial"/>
          <w:szCs w:val="20"/>
          <w:lang w:eastAsia="en-US"/>
        </w:rPr>
      </w:pPr>
      <w:r>
        <w:rPr>
          <w:rFonts w:cs="Arial"/>
          <w:szCs w:val="20"/>
          <w:lang w:eastAsia="en-US"/>
        </w:rPr>
        <w:t>Será considerada data do pagamento o dia em que constar como emitida a ordem bancária para pagamento.</w:t>
      </w:r>
    </w:p>
    <w:p>
      <w:pPr>
        <w:pStyle w:val="Normal"/>
        <w:numPr>
          <w:ilvl w:val="1"/>
          <w:numId w:val="2"/>
        </w:numPr>
        <w:spacing w:lineRule="auto" w:line="276" w:before="120" w:after="120"/>
        <w:ind w:left="425" w:hanging="0"/>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pPr>
        <w:pStyle w:val="Normal"/>
        <w:numPr>
          <w:ilvl w:val="1"/>
          <w:numId w:val="2"/>
        </w:numPr>
        <w:spacing w:lineRule="auto" w:line="276" w:before="120" w:after="120"/>
        <w:ind w:left="425" w:hanging="0"/>
        <w:jc w:val="both"/>
        <w:rPr>
          <w:rFonts w:cs="Arial"/>
          <w:szCs w:val="20"/>
          <w:lang w:eastAsia="en-US"/>
        </w:rPr>
      </w:pP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2"/>
        </w:numPr>
        <w:spacing w:lineRule="auto" w:line="276" w:before="120" w:after="120"/>
        <w:ind w:left="425" w:hanging="0"/>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2"/>
        </w:numPr>
        <w:spacing w:lineRule="auto" w:line="276" w:before="120" w:after="120"/>
        <w:ind w:left="425" w:hanging="0"/>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2"/>
        </w:numPr>
        <w:spacing w:lineRule="auto" w:line="276" w:before="120" w:after="120"/>
        <w:ind w:left="425" w:hanging="0"/>
        <w:jc w:val="both"/>
        <w:rPr>
          <w:rFonts w:cs="Arial"/>
          <w:szCs w:val="20"/>
          <w:lang w:eastAsia="en-US"/>
        </w:rPr>
      </w:pP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Normal"/>
        <w:numPr>
          <w:ilvl w:val="2"/>
          <w:numId w:val="2"/>
        </w:numPr>
        <w:spacing w:lineRule="auto" w:line="276" w:before="120" w:after="120"/>
        <w:jc w:val="both"/>
        <w:rPr>
          <w:rFonts w:cs="Arial"/>
          <w:szCs w:val="20"/>
          <w:lang w:eastAsia="en-US"/>
        </w:rPr>
      </w:pPr>
      <w:r>
        <w:rPr>
          <w:rFonts w:cs="Arial"/>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pPr>
        <w:pStyle w:val="Normal"/>
        <w:numPr>
          <w:ilvl w:val="1"/>
          <w:numId w:val="2"/>
        </w:numPr>
        <w:spacing w:lineRule="auto" w:line="276" w:before="120" w:after="120"/>
        <w:ind w:left="425" w:hanging="0"/>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2"/>
        </w:numPr>
        <w:spacing w:lineRule="auto" w:line="276" w:before="120" w:after="120"/>
        <w:ind w:left="425" w:hanging="0"/>
        <w:jc w:val="both"/>
        <w:rPr>
          <w:rFonts w:cs="Arial"/>
          <w:color w:val="000000"/>
          <w:szCs w:val="20"/>
          <w:lang w:eastAsia="en-US"/>
        </w:rPr>
      </w:pPr>
      <w:r>
        <w:rPr>
          <w:rFonts w:cs="Arial"/>
          <w:szCs w:val="20"/>
          <w:lang w:eastAsia="en-US"/>
        </w:rPr>
        <w:t>Quando do pagamento, será efetuada a retenção tributária prevista na legislação aplicável, em especial a prevista no artigo 31 da Lei 8.212, de 1993, nos termos do item 6 do Anexo XI da IN SEGES/MP n. 5/2017, quando couber.</w:t>
      </w:r>
    </w:p>
    <w:p>
      <w:pPr>
        <w:pStyle w:val="Normal"/>
        <w:numPr>
          <w:ilvl w:val="1"/>
          <w:numId w:val="2"/>
        </w:numPr>
        <w:spacing w:lineRule="auto" w:line="276" w:before="120" w:after="120"/>
        <w:ind w:left="425" w:hanging="0"/>
        <w:jc w:val="both"/>
        <w:rPr>
          <w:rFonts w:cs="Arial"/>
          <w:szCs w:val="20"/>
          <w:lang w:eastAsia="en-US"/>
        </w:rPr>
      </w:pPr>
      <w:r>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pPr>
        <w:pStyle w:val="Normal"/>
        <w:numPr>
          <w:ilvl w:val="1"/>
          <w:numId w:val="2"/>
        </w:numPr>
        <w:spacing w:lineRule="auto" w:line="276" w:before="120" w:after="120"/>
        <w:jc w:val="both"/>
        <w:rPr>
          <w:rFonts w:cs="Arial"/>
          <w:szCs w:val="20"/>
          <w:lang w:eastAsia="en-US"/>
        </w:rPr>
      </w:pPr>
      <w:r>
        <w:rPr>
          <w:rFonts w:cs="Arial"/>
          <w:szCs w:val="20"/>
          <w:lang w:eastAsia="en-US"/>
        </w:rPr>
        <w:t xml:space="preserve">  </w:t>
      </w:r>
      <w:r>
        <w:rPr>
          <w:rFonts w:cs="Arial"/>
          <w:szCs w:val="20"/>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Normal"/>
        <w:spacing w:lineRule="auto" w:line="276"/>
        <w:ind w:left="426" w:firstLine="708"/>
        <w:jc w:val="both"/>
        <w:rPr>
          <w:rFonts w:cs="Arial"/>
          <w:szCs w:val="20"/>
        </w:rPr>
      </w:pPr>
      <w:r>
        <w:rPr>
          <w:rFonts w:cs="Arial"/>
          <w:szCs w:val="20"/>
        </w:rPr>
        <w:t>EM = I x N x VP, sendo:</w:t>
      </w:r>
    </w:p>
    <w:p>
      <w:pPr>
        <w:pStyle w:val="Normal"/>
        <w:tabs>
          <w:tab w:val="clear" w:pos="708"/>
          <w:tab w:val="left" w:pos="1701" w:leader="none"/>
        </w:tabs>
        <w:spacing w:lineRule="auto" w:line="276"/>
        <w:ind w:firstLine="1134"/>
        <w:jc w:val="both"/>
        <w:rPr>
          <w:rFonts w:cs="Arial"/>
          <w:color w:val="000000"/>
          <w:szCs w:val="20"/>
        </w:rPr>
      </w:pPr>
      <w:r>
        <w:rPr>
          <w:rFonts w:cs="Arial"/>
          <w:color w:val="000000"/>
          <w:szCs w:val="20"/>
        </w:rPr>
        <w:t>EM = Encargos moratórios;</w:t>
      </w:r>
    </w:p>
    <w:p>
      <w:pPr>
        <w:pStyle w:val="Normal"/>
        <w:tabs>
          <w:tab w:val="clear" w:pos="708"/>
          <w:tab w:val="left" w:pos="1701" w:leader="none"/>
        </w:tabs>
        <w:spacing w:lineRule="auto" w:line="276"/>
        <w:ind w:firstLine="1134"/>
        <w:jc w:val="both"/>
        <w:rPr>
          <w:rFonts w:cs="Arial"/>
          <w:color w:val="000000"/>
          <w:szCs w:val="20"/>
        </w:rPr>
      </w:pPr>
      <w:r>
        <w:rPr>
          <w:rFonts w:cs="Arial"/>
          <w:color w:val="000000"/>
          <w:szCs w:val="20"/>
        </w:rPr>
        <w:t>N = Número de dias entre a data prevista para o pagamento e a do efetivo pagamento;</w:t>
      </w:r>
    </w:p>
    <w:p>
      <w:pPr>
        <w:pStyle w:val="Normal"/>
        <w:tabs>
          <w:tab w:val="clear" w:pos="708"/>
          <w:tab w:val="left" w:pos="1701" w:leader="none"/>
        </w:tabs>
        <w:spacing w:lineRule="auto" w:line="276"/>
        <w:ind w:firstLine="1134"/>
        <w:jc w:val="both"/>
        <w:rPr>
          <w:rFonts w:cs="Arial"/>
          <w:color w:val="000000"/>
          <w:szCs w:val="20"/>
        </w:rPr>
      </w:pPr>
      <w:r>
        <w:rPr>
          <w:rFonts w:cs="Arial"/>
          <w:color w:val="000000"/>
          <w:szCs w:val="20"/>
        </w:rPr>
        <w:t>VP = Valor da parcela a ser paga.</w:t>
      </w:r>
    </w:p>
    <w:p>
      <w:pPr>
        <w:pStyle w:val="Normal"/>
        <w:tabs>
          <w:tab w:val="clear" w:pos="708"/>
          <w:tab w:val="left" w:pos="1701" w:leader="none"/>
        </w:tabs>
        <w:spacing w:lineRule="auto" w:line="276"/>
        <w:ind w:firstLine="1134"/>
        <w:jc w:val="both"/>
        <w:rPr>
          <w:rFonts w:cs="Arial"/>
          <w:color w:val="000000"/>
          <w:szCs w:val="20"/>
        </w:rPr>
      </w:pPr>
      <w:r>
        <w:rPr>
          <w:rFonts w:cs="Arial"/>
          <w:color w:val="000000"/>
          <w:szCs w:val="20"/>
        </w:rPr>
        <w:t>I = Índice de compensação financeira = 0,00016438, assim apurado:</w:t>
      </w:r>
    </w:p>
    <w:tbl>
      <w:tblPr>
        <w:tblStyle w:val="Tabelacomgrade"/>
        <w:tblW w:w="8646" w:type="dxa"/>
        <w:jc w:val="left"/>
        <w:tblInd w:w="425" w:type="dxa"/>
        <w:tblLayout w:type="fixed"/>
        <w:tblCellMar>
          <w:top w:w="0" w:type="dxa"/>
          <w:left w:w="108" w:type="dxa"/>
          <w:bottom w:w="0" w:type="dxa"/>
          <w:right w:w="108" w:type="dxa"/>
        </w:tblCellMar>
        <w:tblLook w:firstRow="1" w:noVBand="1" w:lastRow="0" w:firstColumn="1" w:lastColumn="0" w:noHBand="0" w:val="04a0"/>
      </w:tblPr>
      <w:tblGrid>
        <w:gridCol w:w="2149"/>
        <w:gridCol w:w="441"/>
        <w:gridCol w:w="1247"/>
        <w:gridCol w:w="4808"/>
      </w:tblGrid>
      <w:tr>
        <w:trPr/>
        <w:tc>
          <w:tcPr>
            <w:tcW w:w="2149" w:type="dxa"/>
            <w:vMerge w:val="restart"/>
            <w:tcBorders>
              <w:top w:val="nil"/>
              <w:left w:val="nil"/>
              <w:bottom w:val="nil"/>
              <w:right w:val="nil"/>
            </w:tcBorders>
            <w:vAlign w:val="center"/>
          </w:tcPr>
          <w:p>
            <w:pPr>
              <w:pStyle w:val="Normal"/>
              <w:widowControl w:val="false"/>
              <w:tabs>
                <w:tab w:val="clear" w:pos="708"/>
                <w:tab w:val="left" w:pos="1701" w:leader="none"/>
              </w:tabs>
              <w:suppressAutoHyphens w:val="true"/>
              <w:spacing w:lineRule="auto" w:line="276" w:before="0" w:after="0"/>
              <w:jc w:val="both"/>
              <w:rPr>
                <w:rFonts w:cs="Arial"/>
                <w:color w:val="000000"/>
                <w:szCs w:val="20"/>
              </w:rPr>
            </w:pPr>
            <w:r>
              <w:rPr>
                <w:rFonts w:eastAsia="ＭＳ 明朝" w:cs="Arial"/>
                <w:color w:val="000000"/>
                <w:kern w:val="0"/>
                <w:sz w:val="20"/>
                <w:szCs w:val="20"/>
                <w:lang w:val="pt-BR" w:eastAsia="en-US" w:bidi="ar-SA"/>
              </w:rPr>
              <w:t>I = (TX)</w:t>
            </w:r>
          </w:p>
        </w:tc>
        <w:tc>
          <w:tcPr>
            <w:tcW w:w="441" w:type="dxa"/>
            <w:vMerge w:val="restart"/>
            <w:tcBorders>
              <w:top w:val="nil"/>
              <w:left w:val="nil"/>
              <w:bottom w:val="nil"/>
              <w:right w:val="nil"/>
            </w:tcBorders>
            <w:vAlign w:val="center"/>
          </w:tcPr>
          <w:p>
            <w:pPr>
              <w:pStyle w:val="Normal"/>
              <w:widowControl w:val="false"/>
              <w:tabs>
                <w:tab w:val="clear" w:pos="708"/>
                <w:tab w:val="left" w:pos="1701" w:leader="none"/>
              </w:tabs>
              <w:suppressAutoHyphens w:val="true"/>
              <w:spacing w:lineRule="auto" w:line="276" w:before="0" w:after="0"/>
              <w:jc w:val="both"/>
              <w:rPr>
                <w:rFonts w:cs="Arial"/>
                <w:color w:val="000000"/>
                <w:szCs w:val="20"/>
              </w:rPr>
            </w:pPr>
            <w:r>
              <w:rPr>
                <w:rFonts w:eastAsia="ＭＳ 明朝" w:cs="Arial"/>
                <w:color w:val="000000"/>
                <w:kern w:val="0"/>
                <w:sz w:val="20"/>
                <w:szCs w:val="20"/>
                <w:lang w:val="pt-BR" w:eastAsia="en-US" w:bidi="ar-SA"/>
              </w:rPr>
              <w:t xml:space="preserve">I = </w:t>
            </w:r>
          </w:p>
        </w:tc>
        <w:tc>
          <w:tcPr>
            <w:tcW w:w="1247" w:type="dxa"/>
            <w:tcBorders>
              <w:top w:val="nil"/>
              <w:left w:val="nil"/>
              <w:right w:val="nil"/>
            </w:tcBorders>
          </w:tcPr>
          <w:p>
            <w:pPr>
              <w:pStyle w:val="Normal"/>
              <w:widowControl w:val="false"/>
              <w:tabs>
                <w:tab w:val="clear" w:pos="708"/>
                <w:tab w:val="left" w:pos="1701" w:leader="none"/>
              </w:tabs>
              <w:suppressAutoHyphens w:val="true"/>
              <w:spacing w:lineRule="auto" w:line="276" w:before="0" w:after="0"/>
              <w:jc w:val="both"/>
              <w:rPr>
                <w:rFonts w:cs="Arial"/>
                <w:color w:val="000000"/>
                <w:szCs w:val="20"/>
              </w:rPr>
            </w:pPr>
            <w:r>
              <w:rPr>
                <w:rFonts w:eastAsia="ＭＳ 明朝" w:cs="Arial"/>
                <w:color w:val="000000"/>
                <w:kern w:val="0"/>
                <w:sz w:val="20"/>
                <w:szCs w:val="20"/>
                <w:lang w:val="pt-BR" w:eastAsia="en-US" w:bidi="ar-SA"/>
              </w:rPr>
              <w:t>( 6 / 100 )</w:t>
            </w:r>
          </w:p>
        </w:tc>
        <w:tc>
          <w:tcPr>
            <w:tcW w:w="4808" w:type="dxa"/>
            <w:vMerge w:val="restart"/>
            <w:tcBorders>
              <w:top w:val="nil"/>
              <w:left w:val="nil"/>
              <w:bottom w:val="nil"/>
              <w:right w:val="nil"/>
            </w:tcBorders>
            <w:vAlign w:val="center"/>
          </w:tcPr>
          <w:p>
            <w:pPr>
              <w:pStyle w:val="Normal"/>
              <w:widowControl w:val="false"/>
              <w:tabs>
                <w:tab w:val="clear" w:pos="708"/>
                <w:tab w:val="left" w:pos="1701" w:leader="none"/>
              </w:tabs>
              <w:suppressAutoHyphens w:val="true"/>
              <w:spacing w:lineRule="auto" w:line="276" w:before="0" w:after="0"/>
              <w:ind w:left="742" w:hanging="0"/>
              <w:jc w:val="both"/>
              <w:rPr>
                <w:rFonts w:cs="Arial"/>
                <w:color w:val="000000"/>
                <w:szCs w:val="20"/>
              </w:rPr>
            </w:pPr>
            <w:r>
              <w:rPr>
                <w:rFonts w:eastAsia="ＭＳ 明朝" w:cs="Arial"/>
                <w:color w:val="000000"/>
                <w:kern w:val="0"/>
                <w:sz w:val="20"/>
                <w:szCs w:val="20"/>
                <w:lang w:val="pt-BR" w:eastAsia="en-US" w:bidi="ar-SA"/>
              </w:rPr>
              <w:t>I = 0,00016438</w:t>
            </w:r>
          </w:p>
          <w:p>
            <w:pPr>
              <w:pStyle w:val="Normal"/>
              <w:widowControl w:val="false"/>
              <w:tabs>
                <w:tab w:val="clear" w:pos="708"/>
                <w:tab w:val="left" w:pos="1701" w:leader="none"/>
              </w:tabs>
              <w:suppressAutoHyphens w:val="true"/>
              <w:spacing w:lineRule="auto" w:line="276" w:before="0" w:after="0"/>
              <w:ind w:left="742" w:hanging="0"/>
              <w:jc w:val="both"/>
              <w:rPr>
                <w:rFonts w:cs="Arial"/>
                <w:color w:val="000000"/>
                <w:szCs w:val="20"/>
              </w:rPr>
            </w:pPr>
            <w:r>
              <w:rPr>
                <w:rFonts w:eastAsia="ＭＳ 明朝" w:cs="Arial"/>
                <w:color w:val="000000"/>
                <w:kern w:val="0"/>
                <w:sz w:val="20"/>
                <w:szCs w:val="20"/>
                <w:lang w:val="pt-BR" w:eastAsia="en-US" w:bidi="ar-SA"/>
              </w:rPr>
              <w:t>TX = Percentual da taxa anual = 6%</w:t>
            </w:r>
          </w:p>
          <w:p>
            <w:pPr>
              <w:pStyle w:val="Normal"/>
              <w:widowControl w:val="false"/>
              <w:tabs>
                <w:tab w:val="clear" w:pos="708"/>
                <w:tab w:val="left" w:pos="1701" w:leader="none"/>
              </w:tabs>
              <w:suppressAutoHyphens w:val="true"/>
              <w:spacing w:lineRule="auto" w:line="276" w:before="0" w:after="0"/>
              <w:ind w:left="742" w:hanging="0"/>
              <w:jc w:val="both"/>
              <w:rPr>
                <w:rFonts w:cs="Arial"/>
                <w:color w:val="000000"/>
                <w:szCs w:val="20"/>
              </w:rPr>
            </w:pPr>
            <w:r>
              <w:rPr>
                <w:rFonts w:cs="Arial"/>
                <w:color w:val="000000"/>
                <w:szCs w:val="20"/>
              </w:rPr>
            </w:r>
          </w:p>
        </w:tc>
      </w:tr>
      <w:tr>
        <w:trPr/>
        <w:tc>
          <w:tcPr>
            <w:tcW w:w="2149" w:type="dxa"/>
            <w:vMerge w:val="continue"/>
            <w:tcBorders>
              <w:top w:val="nil"/>
              <w:left w:val="nil"/>
              <w:bottom w:val="nil"/>
              <w:right w:val="nil"/>
            </w:tcBorders>
            <w:vAlign w:val="center"/>
          </w:tcPr>
          <w:p>
            <w:pPr>
              <w:pStyle w:val="Normal"/>
              <w:widowControl w:val="false"/>
              <w:suppressAutoHyphens w:val="true"/>
              <w:spacing w:before="0" w:after="0"/>
              <w:jc w:val="left"/>
              <w:rPr>
                <w:rFonts w:cs="Arial"/>
                <w:color w:val="000000"/>
                <w:szCs w:val="20"/>
              </w:rPr>
            </w:pPr>
            <w:r>
              <w:rPr>
                <w:rFonts w:cs="Arial"/>
                <w:color w:val="000000"/>
                <w:szCs w:val="20"/>
              </w:rPr>
            </w:r>
          </w:p>
        </w:tc>
        <w:tc>
          <w:tcPr>
            <w:tcW w:w="441" w:type="dxa"/>
            <w:vMerge w:val="continue"/>
            <w:tcBorders>
              <w:top w:val="nil"/>
              <w:left w:val="nil"/>
              <w:bottom w:val="nil"/>
              <w:right w:val="nil"/>
            </w:tcBorders>
            <w:vAlign w:val="center"/>
          </w:tcPr>
          <w:p>
            <w:pPr>
              <w:pStyle w:val="Normal"/>
              <w:widowControl w:val="false"/>
              <w:suppressAutoHyphens w:val="true"/>
              <w:spacing w:before="0" w:after="0"/>
              <w:jc w:val="left"/>
              <w:rPr>
                <w:rFonts w:cs="Arial"/>
                <w:color w:val="000000"/>
                <w:szCs w:val="20"/>
              </w:rPr>
            </w:pPr>
            <w:r>
              <w:rPr>
                <w:rFonts w:cs="Arial"/>
                <w:color w:val="000000"/>
                <w:szCs w:val="20"/>
              </w:rPr>
            </w:r>
          </w:p>
        </w:tc>
        <w:tc>
          <w:tcPr>
            <w:tcW w:w="1247" w:type="dxa"/>
            <w:tcBorders>
              <w:left w:val="nil"/>
              <w:bottom w:val="nil"/>
              <w:right w:val="nil"/>
            </w:tcBorders>
          </w:tcPr>
          <w:p>
            <w:pPr>
              <w:pStyle w:val="Normal"/>
              <w:widowControl w:val="false"/>
              <w:tabs>
                <w:tab w:val="clear" w:pos="708"/>
                <w:tab w:val="left" w:pos="1701" w:leader="none"/>
              </w:tabs>
              <w:suppressAutoHyphens w:val="true"/>
              <w:spacing w:lineRule="auto" w:line="276" w:before="0" w:after="0"/>
              <w:jc w:val="both"/>
              <w:rPr>
                <w:rFonts w:cs="Arial"/>
                <w:color w:val="000000"/>
                <w:szCs w:val="20"/>
              </w:rPr>
            </w:pPr>
            <w:r>
              <w:rPr>
                <w:rFonts w:eastAsia="ＭＳ 明朝" w:cs="Arial"/>
                <w:color w:val="000000"/>
                <w:kern w:val="0"/>
                <w:sz w:val="20"/>
                <w:szCs w:val="20"/>
                <w:lang w:val="pt-BR" w:eastAsia="en-US" w:bidi="ar-SA"/>
              </w:rPr>
              <w:t>365</w:t>
            </w:r>
          </w:p>
        </w:tc>
        <w:tc>
          <w:tcPr>
            <w:tcW w:w="4808" w:type="dxa"/>
            <w:vMerge w:val="continue"/>
            <w:tcBorders>
              <w:top w:val="nil"/>
              <w:left w:val="nil"/>
              <w:bottom w:val="nil"/>
              <w:right w:val="nil"/>
            </w:tcBorders>
            <w:vAlign w:val="center"/>
          </w:tcPr>
          <w:p>
            <w:pPr>
              <w:pStyle w:val="Normal"/>
              <w:widowControl w:val="false"/>
              <w:suppressAutoHyphens w:val="true"/>
              <w:spacing w:before="0" w:after="0"/>
              <w:jc w:val="left"/>
              <w:rPr>
                <w:rFonts w:cs="Arial"/>
                <w:color w:val="000000"/>
                <w:szCs w:val="20"/>
              </w:rPr>
            </w:pPr>
            <w:r>
              <w:rPr>
                <w:rFonts w:cs="Arial"/>
                <w:color w:val="000000"/>
                <w:szCs w:val="20"/>
              </w:rPr>
            </w:r>
          </w:p>
        </w:tc>
      </w:tr>
    </w:tbl>
    <w:p>
      <w:pPr>
        <w:pStyle w:val="Nivel1"/>
        <w:numPr>
          <w:ilvl w:val="0"/>
          <w:numId w:val="2"/>
        </w:numPr>
        <w:rPr>
          <w:rFonts w:cs="Arial"/>
          <w:color w:val="auto"/>
        </w:rPr>
      </w:pPr>
      <w:r>
        <w:rPr>
          <w:rFonts w:cs="Arial"/>
          <w:color w:val="auto"/>
        </w:rPr>
        <w:t>REAJUSTE</w:t>
      </w:r>
    </w:p>
    <w:p>
      <w:pPr>
        <w:pStyle w:val="Normal"/>
        <w:numPr>
          <w:ilvl w:val="1"/>
          <w:numId w:val="2"/>
        </w:numPr>
        <w:spacing w:lineRule="auto" w:line="276" w:before="120" w:after="120"/>
        <w:ind w:left="425" w:hanging="0"/>
        <w:jc w:val="both"/>
        <w:rPr>
          <w:rFonts w:cs="Arial"/>
          <w:szCs w:val="20"/>
        </w:rPr>
      </w:pPr>
      <w:r>
        <w:rPr>
          <w:rFonts w:cs="Arial"/>
          <w:szCs w:val="20"/>
        </w:rPr>
        <w:t>Os preços inicialmente contratados são fixos e irreajustáveis no prazo de um ano contado da data limite para a apresentação das propostas.</w:t>
      </w:r>
    </w:p>
    <w:p>
      <w:pPr>
        <w:pStyle w:val="Normal"/>
        <w:numPr>
          <w:ilvl w:val="1"/>
          <w:numId w:val="2"/>
        </w:numPr>
        <w:spacing w:lineRule="auto" w:line="276" w:before="120" w:after="120"/>
        <w:jc w:val="both"/>
        <w:rPr>
          <w:rFonts w:cs="Arial"/>
          <w:szCs w:val="20"/>
        </w:rPr>
      </w:pPr>
      <w:r>
        <w:rPr>
          <w:rFonts w:cs="Arial"/>
          <w:szCs w:val="20"/>
        </w:rPr>
        <w:t>Após o interregno de um ano, e independentemente de pedido da CONTRATADA, os preços iniciais serão reajustados, mediante a aplicação, pela CONTRATANTE, do índice IST (Índice de Serviços de Telecomunicações)</w:t>
      </w:r>
      <w:r>
        <w:rPr>
          <w:rFonts w:cs="Arial"/>
          <w:i/>
          <w:iCs/>
          <w:szCs w:val="20"/>
        </w:rPr>
        <w:t>,</w:t>
      </w:r>
      <w:r>
        <w:rPr>
          <w:rFonts w:cs="Arial"/>
          <w:szCs w:val="20"/>
        </w:rPr>
        <w:t xml:space="preserve"> exclusivamente para as obrigações iniciadas e concluídas após a ocorrência da anualidade, com base na seguinte fórmula (art. 5º do Decreto n.º 1.054, de 1994): </w:t>
      </w:r>
    </w:p>
    <w:p>
      <w:pPr>
        <w:pStyle w:val="Normal"/>
        <w:spacing w:lineRule="auto" w:line="276" w:before="120" w:after="120"/>
        <w:ind w:left="1418" w:hanging="0"/>
        <w:jc w:val="both"/>
        <w:rPr>
          <w:rFonts w:cs="Arial"/>
          <w:szCs w:val="20"/>
        </w:rPr>
      </w:pPr>
      <w:r>
        <w:rPr>
          <w:rFonts w:cs="Arial"/>
          <w:szCs w:val="20"/>
        </w:rPr>
        <w:t>R = V (I – Iº) / Iº, onde:</w:t>
      </w:r>
    </w:p>
    <w:p>
      <w:pPr>
        <w:pStyle w:val="Normal"/>
        <w:spacing w:lineRule="auto" w:line="276" w:before="120" w:after="120"/>
        <w:ind w:left="1418" w:hanging="0"/>
        <w:jc w:val="both"/>
        <w:rPr>
          <w:rFonts w:cs="Arial"/>
          <w:szCs w:val="20"/>
        </w:rPr>
      </w:pPr>
      <w:r>
        <w:rPr>
          <w:rFonts w:cs="Arial"/>
          <w:szCs w:val="20"/>
        </w:rPr>
        <w:t>R = Valor do reajuste procurado;</w:t>
      </w:r>
    </w:p>
    <w:p>
      <w:pPr>
        <w:pStyle w:val="Normal"/>
        <w:spacing w:lineRule="auto" w:line="276" w:before="120" w:after="120"/>
        <w:ind w:left="1418" w:hanging="0"/>
        <w:jc w:val="both"/>
        <w:rPr>
          <w:rFonts w:cs="Arial"/>
          <w:szCs w:val="20"/>
        </w:rPr>
      </w:pPr>
      <w:r>
        <w:rPr>
          <w:rFonts w:cs="Arial"/>
          <w:szCs w:val="20"/>
        </w:rPr>
        <w:t>V = Valor contratual a ser reajustado;</w:t>
      </w:r>
    </w:p>
    <w:p>
      <w:pPr>
        <w:pStyle w:val="Normal"/>
        <w:spacing w:lineRule="auto" w:line="276" w:before="120" w:after="120"/>
        <w:ind w:left="1418" w:hanging="0"/>
        <w:jc w:val="both"/>
        <w:rPr>
          <w:rFonts w:cs="Arial"/>
          <w:szCs w:val="20"/>
        </w:rPr>
      </w:pPr>
      <w:r>
        <w:rPr>
          <w:rFonts w:cs="Arial"/>
          <w:szCs w:val="20"/>
        </w:rPr>
        <w:t>Iº = índice inicial - refere-se ao índice de custos ou de preços correspondente à data fixada para entrega da proposta na licitação;</w:t>
      </w:r>
    </w:p>
    <w:p>
      <w:pPr>
        <w:pStyle w:val="Normal"/>
        <w:spacing w:lineRule="auto" w:line="276" w:before="120" w:after="120"/>
        <w:ind w:left="1418" w:hanging="0"/>
        <w:jc w:val="both"/>
        <w:rPr>
          <w:rFonts w:cs="Arial"/>
          <w:szCs w:val="20"/>
        </w:rPr>
      </w:pPr>
      <w:r>
        <w:rPr>
          <w:rFonts w:cs="Arial"/>
          <w:szCs w:val="20"/>
        </w:rPr>
        <w:t>I = Índice relativo ao mês do reajustamento;</w:t>
      </w:r>
    </w:p>
    <w:p>
      <w:pPr>
        <w:pStyle w:val="Normal"/>
        <w:numPr>
          <w:ilvl w:val="1"/>
          <w:numId w:val="2"/>
        </w:numPr>
        <w:spacing w:lineRule="auto" w:line="276" w:before="120" w:after="120"/>
        <w:ind w:left="425" w:hanging="0"/>
        <w:jc w:val="both"/>
        <w:rPr>
          <w:rFonts w:cs="Arial"/>
          <w:szCs w:val="20"/>
        </w:rPr>
      </w:pPr>
      <w:r>
        <w:rPr>
          <w:rFonts w:cs="Arial"/>
          <w:szCs w:val="20"/>
        </w:rPr>
        <w:t>Nos reajustes subsequentes ao primeiro, o interregno mínimo de um ano será contado a partir dos efeitos financeiros do último reajuste.</w:t>
      </w:r>
    </w:p>
    <w:p>
      <w:pPr>
        <w:pStyle w:val="Normal"/>
        <w:numPr>
          <w:ilvl w:val="1"/>
          <w:numId w:val="2"/>
        </w:numPr>
        <w:spacing w:lineRule="auto" w:line="276" w:before="120" w:after="120"/>
        <w:ind w:left="425" w:hanging="0"/>
        <w:jc w:val="both"/>
        <w:rPr>
          <w:rFonts w:cs="Arial"/>
          <w:szCs w:val="20"/>
        </w:rPr>
      </w:pPr>
      <w:r>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pPr>
        <w:pStyle w:val="Normal"/>
        <w:numPr>
          <w:ilvl w:val="1"/>
          <w:numId w:val="2"/>
        </w:numPr>
        <w:spacing w:lineRule="auto" w:line="276" w:before="120" w:after="120"/>
        <w:ind w:left="425" w:hanging="0"/>
        <w:jc w:val="both"/>
        <w:rPr>
          <w:rFonts w:cs="Arial"/>
          <w:szCs w:val="20"/>
        </w:rPr>
      </w:pPr>
      <w:r>
        <w:rPr>
          <w:rFonts w:cs="Arial"/>
          <w:szCs w:val="20"/>
        </w:rPr>
        <w:t>Nas aferições finais, o índice utilizado para reajuste será, obrigatoriamente, o definitivo.</w:t>
      </w:r>
    </w:p>
    <w:p>
      <w:pPr>
        <w:pStyle w:val="Normal"/>
        <w:numPr>
          <w:ilvl w:val="1"/>
          <w:numId w:val="2"/>
        </w:numPr>
        <w:spacing w:lineRule="auto" w:line="276" w:before="120" w:after="120"/>
        <w:ind w:left="425" w:hanging="0"/>
        <w:jc w:val="both"/>
        <w:rPr>
          <w:rFonts w:cs="Arial"/>
          <w:szCs w:val="20"/>
        </w:rPr>
      </w:pPr>
      <w:r>
        <w:rPr>
          <w:rFonts w:cs="Arial"/>
          <w:szCs w:val="20"/>
        </w:rPr>
        <w:t>Caso o índice estabelecido para reajustamento venha a ser extinto ou de qualquer forma não possa mais ser utilizado, será adotado, em substituição, o que vier a ser determinado pela legislação então em vigor.</w:t>
      </w:r>
    </w:p>
    <w:p>
      <w:pPr>
        <w:pStyle w:val="Normal"/>
        <w:numPr>
          <w:ilvl w:val="1"/>
          <w:numId w:val="2"/>
        </w:numPr>
        <w:spacing w:lineRule="auto" w:line="276" w:before="120" w:after="120"/>
        <w:ind w:left="425" w:hanging="0"/>
        <w:jc w:val="both"/>
        <w:rPr>
          <w:rFonts w:cs="Arial"/>
          <w:szCs w:val="20"/>
        </w:rPr>
      </w:pPr>
      <w:r>
        <w:rPr>
          <w:rFonts w:cs="Arial"/>
          <w:szCs w:val="20"/>
        </w:rPr>
        <w:t xml:space="preserve">Na ausência de previsão legal quanto ao índice substituto, as partes elegerão novo índice oficial, para reajustamento do preço do valor remanescente, por meio de termo aditivo. </w:t>
      </w:r>
    </w:p>
    <w:p>
      <w:pPr>
        <w:pStyle w:val="Normal"/>
        <w:numPr>
          <w:ilvl w:val="1"/>
          <w:numId w:val="2"/>
        </w:numPr>
        <w:spacing w:lineRule="auto" w:line="276" w:before="120" w:after="120"/>
        <w:ind w:left="425" w:hanging="0"/>
        <w:jc w:val="both"/>
        <w:rPr>
          <w:rFonts w:cs="Arial"/>
          <w:szCs w:val="20"/>
        </w:rPr>
      </w:pPr>
      <w:r>
        <w:rPr>
          <w:rFonts w:cs="Arial"/>
          <w:szCs w:val="20"/>
        </w:rPr>
        <w:t>O reajuste será realizado por apostilamento.</w:t>
      </w:r>
    </w:p>
    <w:p>
      <w:pPr>
        <w:pStyle w:val="Nivel1"/>
        <w:numPr>
          <w:ilvl w:val="0"/>
          <w:numId w:val="2"/>
        </w:numPr>
        <w:rPr>
          <w:rFonts w:cs="Arial"/>
          <w:color w:val="auto"/>
        </w:rPr>
      </w:pPr>
      <w:r>
        <w:rPr>
          <w:rFonts w:cs="Arial"/>
          <w:color w:val="auto"/>
        </w:rPr>
        <w:t>GARANTIA DA EXECUÇÃO</w:t>
      </w:r>
    </w:p>
    <w:p>
      <w:pPr>
        <w:pStyle w:val="Normal"/>
        <w:numPr>
          <w:ilvl w:val="1"/>
          <w:numId w:val="2"/>
        </w:numPr>
        <w:spacing w:lineRule="auto" w:line="276" w:before="120" w:after="120"/>
        <w:ind w:left="425" w:hanging="0"/>
        <w:jc w:val="both"/>
        <w:rPr>
          <w:rFonts w:cs="Arial"/>
          <w:szCs w:val="20"/>
        </w:rPr>
      </w:pPr>
      <w:r>
        <w:rPr>
          <w:rFonts w:cs="Arial"/>
          <w:szCs w:val="20"/>
        </w:rPr>
        <w:t>Não haverá exigência de garantia contratual da execução, pelas razões abaixo justificadas:</w:t>
      </w:r>
    </w:p>
    <w:p>
      <w:pPr>
        <w:pStyle w:val="Normal"/>
        <w:numPr>
          <w:ilvl w:val="2"/>
          <w:numId w:val="2"/>
        </w:numPr>
        <w:spacing w:lineRule="auto" w:line="276" w:before="120" w:after="120"/>
        <w:jc w:val="both"/>
        <w:rPr>
          <w:rFonts w:cs="Arial"/>
          <w:szCs w:val="20"/>
        </w:rPr>
      </w:pPr>
      <w:r>
        <w:rPr>
          <w:rFonts w:cs="Arial"/>
          <w:szCs w:val="20"/>
        </w:rPr>
        <w:t>Por se tratar de serviço regulado pela ANATEL trata-se de execução já consolidada por grandes empresas de telecomunicação e que possui ampla legislação garantidora de direitos ao consumidor.</w:t>
      </w:r>
    </w:p>
    <w:p>
      <w:pPr>
        <w:pStyle w:val="Nivel1"/>
        <w:numPr>
          <w:ilvl w:val="0"/>
          <w:numId w:val="2"/>
        </w:numPr>
        <w:rPr>
          <w:rFonts w:cs="Arial"/>
        </w:rPr>
      </w:pPr>
      <w:r>
        <w:rPr>
          <w:rFonts w:cs="Arial"/>
          <w:color w:val="auto"/>
        </w:rPr>
        <w:t>DAS</w:t>
      </w:r>
      <w:r>
        <w:rPr>
          <w:rFonts w:cs="Arial"/>
        </w:rPr>
        <w:t xml:space="preserve"> SANÇÕES ADMINISTRATIVAS</w:t>
      </w:r>
    </w:p>
    <w:p>
      <w:pPr>
        <w:pStyle w:val="Normal"/>
        <w:numPr>
          <w:ilvl w:val="1"/>
          <w:numId w:val="18"/>
        </w:numPr>
        <w:spacing w:lineRule="auto" w:line="276" w:before="120" w:after="120"/>
        <w:jc w:val="both"/>
        <w:rPr>
          <w:rFonts w:cs="Arial"/>
          <w:szCs w:val="20"/>
        </w:rPr>
      </w:pPr>
      <w:r>
        <w:rPr>
          <w:rFonts w:cs="Arial"/>
          <w:szCs w:val="20"/>
        </w:rPr>
        <w:t>Comete infração administrativa nos termos da Lei nº 10.520, de 2002, a CONTRATADA que:</w:t>
      </w:r>
    </w:p>
    <w:p>
      <w:pPr>
        <w:pStyle w:val="Normal"/>
        <w:numPr>
          <w:ilvl w:val="2"/>
          <w:numId w:val="19"/>
        </w:numPr>
        <w:spacing w:lineRule="auto" w:line="276" w:before="120" w:after="120"/>
        <w:ind w:left="1224" w:right="-30" w:hanging="504"/>
        <w:jc w:val="both"/>
        <w:rPr>
          <w:rFonts w:cs="Arial"/>
          <w:szCs w:val="20"/>
        </w:rPr>
      </w:pPr>
      <w:r>
        <w:rPr>
          <w:rFonts w:cs="Arial"/>
          <w:szCs w:val="20"/>
        </w:rPr>
        <w:t>falhar na execução do contrato, pela inexecução, total ou parcial, de quaisquer das obrigações assumidas na contratação;</w:t>
      </w:r>
    </w:p>
    <w:p>
      <w:pPr>
        <w:pStyle w:val="Normal"/>
        <w:numPr>
          <w:ilvl w:val="2"/>
          <w:numId w:val="20"/>
        </w:numPr>
        <w:spacing w:lineRule="auto" w:line="276" w:before="120" w:after="120"/>
        <w:ind w:left="1224" w:right="-30" w:hanging="504"/>
        <w:jc w:val="both"/>
        <w:rPr>
          <w:rFonts w:cs="Arial"/>
          <w:szCs w:val="20"/>
        </w:rPr>
      </w:pPr>
      <w:r>
        <w:rPr>
          <w:rFonts w:cs="Arial"/>
          <w:szCs w:val="20"/>
        </w:rPr>
        <w:t>ensejar o retardamento da execução do objeto;</w:t>
      </w:r>
    </w:p>
    <w:p>
      <w:pPr>
        <w:pStyle w:val="Normal"/>
        <w:numPr>
          <w:ilvl w:val="2"/>
          <w:numId w:val="21"/>
        </w:numPr>
        <w:spacing w:lineRule="auto" w:line="276" w:before="120" w:after="120"/>
        <w:ind w:left="1224" w:right="-30" w:hanging="504"/>
        <w:jc w:val="both"/>
        <w:rPr>
          <w:rFonts w:cs="Arial"/>
          <w:szCs w:val="20"/>
        </w:rPr>
      </w:pPr>
      <w:r>
        <w:rPr>
          <w:rFonts w:cs="Arial"/>
          <w:szCs w:val="20"/>
        </w:rPr>
        <w:t>fraudar na execução do contrato;</w:t>
      </w:r>
    </w:p>
    <w:p>
      <w:pPr>
        <w:pStyle w:val="Normal"/>
        <w:numPr>
          <w:ilvl w:val="2"/>
          <w:numId w:val="22"/>
        </w:numPr>
        <w:spacing w:lineRule="auto" w:line="276" w:before="120" w:after="120"/>
        <w:ind w:left="1224" w:right="-30" w:hanging="504"/>
        <w:jc w:val="both"/>
        <w:rPr>
          <w:rFonts w:cs="Arial"/>
          <w:szCs w:val="20"/>
        </w:rPr>
      </w:pPr>
      <w:r>
        <w:rPr>
          <w:rFonts w:cs="Arial"/>
          <w:szCs w:val="20"/>
        </w:rPr>
        <w:t>comportar-se de modo inidôneo; ou</w:t>
      </w:r>
    </w:p>
    <w:p>
      <w:pPr>
        <w:pStyle w:val="Normal"/>
        <w:numPr>
          <w:ilvl w:val="2"/>
          <w:numId w:val="23"/>
        </w:numPr>
        <w:spacing w:lineRule="auto" w:line="276" w:before="120" w:after="120"/>
        <w:ind w:left="1224" w:right="-30" w:hanging="504"/>
        <w:jc w:val="both"/>
        <w:rPr>
          <w:rFonts w:cs="Arial"/>
          <w:szCs w:val="20"/>
        </w:rPr>
      </w:pPr>
      <w:r>
        <w:rPr>
          <w:rFonts w:cs="Arial"/>
          <w:szCs w:val="20"/>
        </w:rPr>
        <w:t>cometer fraude fiscal.</w:t>
      </w:r>
    </w:p>
    <w:p>
      <w:pPr>
        <w:pStyle w:val="Normal"/>
        <w:numPr>
          <w:ilvl w:val="1"/>
          <w:numId w:val="24"/>
        </w:numPr>
        <w:spacing w:lineRule="auto" w:line="276" w:before="120" w:after="12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pPr>
        <w:pStyle w:val="Normal"/>
        <w:numPr>
          <w:ilvl w:val="2"/>
          <w:numId w:val="25"/>
        </w:numPr>
        <w:spacing w:lineRule="auto" w:line="276" w:before="120" w:after="120"/>
        <w:jc w:val="both"/>
        <w:rPr>
          <w:rFonts w:cs="Arial"/>
          <w:szCs w:val="20"/>
        </w:rPr>
      </w:pPr>
      <w:r>
        <w:rPr>
          <w:rFonts w:cs="Arial"/>
          <w:b/>
          <w:bCs/>
          <w:szCs w:val="20"/>
        </w:rPr>
        <w:t>Advertência por escrito</w:t>
      </w:r>
      <w:r>
        <w:rPr>
          <w:rFonts w:cs="Arial"/>
          <w:szCs w:val="20"/>
        </w:rPr>
        <w:t>, quando do não cumprimento de quaisquer das obrigações contratuais consideradas faltas leves, assim entendidas aquelas que não acarretam prejuízos significativos para o serviço contratado;</w:t>
      </w:r>
    </w:p>
    <w:p>
      <w:pPr>
        <w:pStyle w:val="Normal"/>
        <w:numPr>
          <w:ilvl w:val="2"/>
          <w:numId w:val="26"/>
        </w:numPr>
        <w:spacing w:lineRule="auto" w:line="276" w:before="120" w:after="120"/>
        <w:jc w:val="both"/>
        <w:rPr>
          <w:rFonts w:cs="Arial"/>
          <w:szCs w:val="20"/>
        </w:rPr>
      </w:pPr>
      <w:r>
        <w:rPr>
          <w:rFonts w:cs="Arial"/>
          <w:b/>
          <w:bCs/>
          <w:szCs w:val="20"/>
        </w:rPr>
        <w:t>Multa de</w:t>
      </w:r>
      <w:r>
        <w:rPr>
          <w:rFonts w:cs="Arial"/>
          <w:szCs w:val="20"/>
        </w:rPr>
        <w:t xml:space="preserve">: </w:t>
      </w:r>
    </w:p>
    <w:p>
      <w:pPr>
        <w:pStyle w:val="Normal"/>
        <w:numPr>
          <w:ilvl w:val="3"/>
          <w:numId w:val="27"/>
        </w:numPr>
        <w:spacing w:lineRule="auto" w:line="276" w:before="120" w:after="120"/>
        <w:jc w:val="both"/>
        <w:rPr>
          <w:rFonts w:cs="Arial"/>
          <w:szCs w:val="20"/>
        </w:rPr>
      </w:pPr>
      <w:r>
        <w:rPr>
          <w:rFonts w:cs="Arial"/>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Normal"/>
        <w:numPr>
          <w:ilvl w:val="3"/>
          <w:numId w:val="28"/>
        </w:numPr>
        <w:spacing w:lineRule="auto" w:line="276" w:before="120" w:after="120"/>
        <w:jc w:val="both"/>
        <w:rPr>
          <w:rFonts w:cs="Arial"/>
          <w:szCs w:val="20"/>
        </w:rPr>
      </w:pPr>
      <w:r>
        <w:rPr>
          <w:rFonts w:cs="Arial"/>
          <w:szCs w:val="20"/>
        </w:rPr>
        <w:t>0,1% (um décimo por cento) até 10% (dez por cento) sobre o valor adjudicado, em caso de atraso na execução do objeto, por período superior ao previsto no subitem acima, ou de inexecução parcial da obrigação assumida;</w:t>
      </w:r>
    </w:p>
    <w:p>
      <w:pPr>
        <w:pStyle w:val="Normal"/>
        <w:numPr>
          <w:ilvl w:val="3"/>
          <w:numId w:val="29"/>
        </w:numPr>
        <w:spacing w:lineRule="auto" w:line="276" w:before="120" w:after="120"/>
        <w:jc w:val="both"/>
        <w:rPr>
          <w:rFonts w:cs="Arial"/>
          <w:szCs w:val="20"/>
        </w:rPr>
      </w:pPr>
      <w:r>
        <w:rPr>
          <w:rFonts w:cs="Arial"/>
          <w:szCs w:val="20"/>
        </w:rPr>
        <w:t>0,1% (um décimo por cento) até 15% (quinze por cento) sobre o valor adjudicado, em caso de inexecução total da obrigação assumida;</w:t>
      </w:r>
    </w:p>
    <w:p>
      <w:pPr>
        <w:pStyle w:val="Normal"/>
        <w:numPr>
          <w:ilvl w:val="3"/>
          <w:numId w:val="30"/>
        </w:numPr>
        <w:spacing w:lineRule="auto" w:line="276" w:before="120" w:after="120"/>
        <w:jc w:val="both"/>
        <w:rPr>
          <w:rFonts w:cs="Arial"/>
          <w:szCs w:val="20"/>
        </w:rPr>
      </w:pPr>
      <w:r>
        <w:rPr>
          <w:rFonts w:cs="Arial"/>
          <w:szCs w:val="20"/>
        </w:rPr>
        <w:t xml:space="preserve">0,2% a 3,2% por dia sobre o valor mensal do contrato, conforme detalhamento constante das </w:t>
      </w:r>
      <w:r>
        <w:rPr>
          <w:rFonts w:cs="Arial"/>
          <w:b/>
          <w:bCs/>
          <w:szCs w:val="20"/>
        </w:rPr>
        <w:t>tabelas 1 e 2</w:t>
      </w:r>
      <w:r>
        <w:rPr>
          <w:rFonts w:cs="Arial"/>
          <w:szCs w:val="20"/>
        </w:rPr>
        <w:t>, abaixo; e</w:t>
      </w:r>
    </w:p>
    <w:p>
      <w:pPr>
        <w:pStyle w:val="Normal"/>
        <w:numPr>
          <w:ilvl w:val="3"/>
          <w:numId w:val="31"/>
        </w:numPr>
        <w:spacing w:lineRule="auto" w:line="276" w:before="120" w:after="120"/>
        <w:jc w:val="both"/>
        <w:rPr>
          <w:rFonts w:cs="Arial"/>
          <w:szCs w:val="20"/>
        </w:rPr>
      </w:pPr>
      <w:r>
        <w:rPr>
          <w:rFonts w:cs="Arial"/>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Normal"/>
        <w:numPr>
          <w:ilvl w:val="3"/>
          <w:numId w:val="32"/>
        </w:numPr>
        <w:spacing w:lineRule="auto" w:line="276" w:before="120" w:after="120"/>
        <w:jc w:val="both"/>
        <w:rPr>
          <w:rFonts w:cs="Arial"/>
          <w:szCs w:val="20"/>
        </w:rPr>
      </w:pPr>
      <w:r>
        <w:rPr>
          <w:rFonts w:cs="Arial"/>
          <w:szCs w:val="20"/>
        </w:rPr>
        <w:t>as penalidades de multa decorrentes de fatos diversos serão consideradas independentes entre si.</w:t>
      </w:r>
    </w:p>
    <w:p>
      <w:pPr>
        <w:pStyle w:val="Normal"/>
        <w:numPr>
          <w:ilvl w:val="2"/>
          <w:numId w:val="33"/>
        </w:numPr>
        <w:spacing w:before="0" w:after="0"/>
        <w:contextualSpacing/>
        <w:jc w:val="both"/>
        <w:rPr>
          <w:rFonts w:cs="Arial"/>
          <w:szCs w:val="20"/>
        </w:rPr>
      </w:pPr>
      <w:r>
        <w:rPr>
          <w:rFonts w:cs="Arial"/>
          <w:szCs w:val="20"/>
        </w:rPr>
        <w:t xml:space="preserve">Suspensão de licitar e impedimento de contratar com o órgão, entidade ou unidade administrativa pela </w:t>
      </w:r>
      <w:r>
        <w:rPr>
          <w:rFonts w:cs="Arial"/>
          <w:bCs/>
          <w:szCs w:val="20"/>
        </w:rPr>
        <w:t>qual</w:t>
      </w:r>
      <w:r>
        <w:rPr>
          <w:rFonts w:cs="Arial"/>
          <w:szCs w:val="20"/>
        </w:rPr>
        <w:t xml:space="preserve"> a Administração Pública opera e atua concretamente, pelo prazo de até dois anos;</w:t>
      </w:r>
    </w:p>
    <w:p>
      <w:pPr>
        <w:pStyle w:val="Normal"/>
        <w:ind w:left="720" w:hanging="0"/>
        <w:jc w:val="both"/>
        <w:rPr>
          <w:rFonts w:cs="Arial"/>
          <w:szCs w:val="20"/>
        </w:rPr>
      </w:pPr>
      <w:r>
        <w:rPr>
          <w:rFonts w:cs="Arial"/>
          <w:szCs w:val="20"/>
        </w:rPr>
      </w:r>
    </w:p>
    <w:p>
      <w:pPr>
        <w:pStyle w:val="Normal"/>
        <w:numPr>
          <w:ilvl w:val="2"/>
          <w:numId w:val="34"/>
        </w:numPr>
        <w:spacing w:before="0" w:after="0"/>
        <w:contextualSpacing/>
        <w:jc w:val="both"/>
        <w:rPr>
          <w:rFonts w:cs="Arial"/>
          <w:szCs w:val="20"/>
        </w:rPr>
      </w:pPr>
      <w:r>
        <w:rPr>
          <w:rFonts w:cs="Arial"/>
          <w:szCs w:val="20"/>
        </w:rPr>
        <w:t>Sanção de impedimento de licitar e contratar com órgãos e entidades da União, com o consequente descredenciamento no SICAF pelo prazo de até cinco anos.</w:t>
      </w:r>
    </w:p>
    <w:p>
      <w:pPr>
        <w:pStyle w:val="Normal"/>
        <w:jc w:val="both"/>
        <w:rPr>
          <w:rFonts w:cs="Arial"/>
          <w:szCs w:val="20"/>
        </w:rPr>
      </w:pPr>
      <w:r>
        <w:rPr>
          <w:rFonts w:cs="Arial"/>
          <w:szCs w:val="20"/>
        </w:rPr>
      </w:r>
    </w:p>
    <w:p>
      <w:pPr>
        <w:pStyle w:val="Normal"/>
        <w:numPr>
          <w:ilvl w:val="2"/>
          <w:numId w:val="35"/>
        </w:numPr>
        <w:spacing w:before="0" w:after="0"/>
        <w:contextualSpacing/>
        <w:jc w:val="both"/>
        <w:rPr>
          <w:rFonts w:cs="Arial"/>
          <w:szCs w:val="20"/>
        </w:rPr>
      </w:pPr>
      <w:r>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pStyle w:val="Normal"/>
        <w:numPr>
          <w:ilvl w:val="1"/>
          <w:numId w:val="36"/>
        </w:numPr>
        <w:spacing w:lineRule="auto" w:line="276" w:before="120" w:after="120"/>
        <w:jc w:val="both"/>
        <w:rPr>
          <w:rFonts w:cs="Arial"/>
          <w:szCs w:val="20"/>
        </w:rPr>
      </w:pPr>
      <w:r>
        <w:rPr>
          <w:rFonts w:cs="Arial"/>
          <w:szCs w:val="20"/>
        </w:rPr>
        <w:t>A Sanção de impedimento de licitar e contratar prevista no subitem “iv” também é aplicável em quaisquer das hipóteses previstas como infração administrativa neste Termo de Referência.</w:t>
      </w:r>
    </w:p>
    <w:p>
      <w:pPr>
        <w:pStyle w:val="Normal"/>
        <w:numPr>
          <w:ilvl w:val="1"/>
          <w:numId w:val="37"/>
        </w:numPr>
        <w:spacing w:lineRule="auto" w:line="276" w:before="120" w:after="120"/>
        <w:jc w:val="both"/>
        <w:rPr>
          <w:rFonts w:cs="Arial"/>
          <w:szCs w:val="20"/>
        </w:rPr>
      </w:pPr>
      <w:r>
        <w:rPr>
          <w:rFonts w:cs="Arial"/>
          <w:szCs w:val="20"/>
        </w:rPr>
        <w:t>As sanções previstas nos subitens “i”, “iii”, “iv” e “v” poderão ser aplicadas à CONTRATADA juntamente com as de multa, descontando-a dos pagamentos a serem efetuados.</w:t>
      </w:r>
    </w:p>
    <w:p>
      <w:pPr>
        <w:pStyle w:val="Normal"/>
        <w:numPr>
          <w:ilvl w:val="1"/>
          <w:numId w:val="38"/>
        </w:numPr>
        <w:spacing w:lineRule="auto" w:line="276" w:before="120" w:after="120"/>
        <w:jc w:val="both"/>
        <w:rPr>
          <w:rFonts w:cs="Arial"/>
          <w:szCs w:val="20"/>
        </w:rPr>
      </w:pPr>
      <w:r>
        <w:rPr>
          <w:rFonts w:cs="Arial"/>
          <w:szCs w:val="20"/>
        </w:rPr>
        <w:t>Para efeito de aplicação de multas, às infrações são atribuídos graus, de acordo com as tabelas 1 e 2:</w:t>
      </w:r>
    </w:p>
    <w:p>
      <w:pPr>
        <w:pStyle w:val="Normal"/>
        <w:spacing w:lineRule="auto" w:line="276" w:before="120" w:after="120"/>
        <w:ind w:right="-30" w:hanging="0"/>
        <w:jc w:val="center"/>
        <w:rPr>
          <w:rFonts w:cs="Arial"/>
          <w:b/>
          <w:b/>
          <w:bCs/>
          <w:szCs w:val="20"/>
        </w:rPr>
      </w:pPr>
      <w:r>
        <w:rPr>
          <w:rFonts w:cs="Arial"/>
          <w:b/>
          <w:bCs/>
          <w:szCs w:val="20"/>
        </w:rPr>
        <w:t>Tabela 1</w:t>
      </w:r>
    </w:p>
    <w:tbl>
      <w:tblPr>
        <w:tblW w:w="9180" w:type="dxa"/>
        <w:jc w:val="left"/>
        <w:tblInd w:w="104" w:type="dxa"/>
        <w:tblLayout w:type="fixed"/>
        <w:tblCellMar>
          <w:top w:w="75" w:type="dxa"/>
          <w:left w:w="75" w:type="dxa"/>
          <w:bottom w:w="75" w:type="dxa"/>
          <w:right w:w="75" w:type="dxa"/>
        </w:tblCellMar>
        <w:tblLook w:firstRow="0" w:noVBand="0" w:lastRow="0" w:firstColumn="0" w:lastColumn="0" w:noHBand="0" w:val="0000"/>
      </w:tblPr>
      <w:tblGrid>
        <w:gridCol w:w="3575"/>
        <w:gridCol w:w="5604"/>
      </w:tblGrid>
      <w:tr>
        <w:trPr>
          <w:trHeight w:val="180" w:hRule="atLeast"/>
        </w:trPr>
        <w:tc>
          <w:tcPr>
            <w:tcW w:w="357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b/>
                <w:bCs/>
                <w:szCs w:val="20"/>
              </w:rPr>
              <w:t>GRAU</w:t>
            </w:r>
          </w:p>
        </w:tc>
        <w:tc>
          <w:tcPr>
            <w:tcW w:w="56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b/>
                <w:bCs/>
                <w:szCs w:val="20"/>
              </w:rPr>
              <w:t>CORRESPONDÊNCIA</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1</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0,2%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2</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0,4%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3</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0,8%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4</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1,6%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5</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3,2% ao dia sobre o valor mensal do contrato</w:t>
            </w:r>
          </w:p>
        </w:tc>
      </w:tr>
    </w:tbl>
    <w:p>
      <w:pPr>
        <w:pStyle w:val="Normal"/>
        <w:spacing w:lineRule="auto" w:line="276" w:before="120" w:after="120"/>
        <w:ind w:right="-30" w:hanging="0"/>
        <w:jc w:val="center"/>
        <w:rPr>
          <w:rFonts w:cs="Arial"/>
          <w:szCs w:val="20"/>
        </w:rPr>
      </w:pPr>
      <w:r>
        <w:rPr>
          <w:rFonts w:cs="Arial"/>
          <w:b/>
          <w:bCs/>
          <w:szCs w:val="20"/>
        </w:rPr>
        <w:t>Tabela 2</w:t>
      </w:r>
    </w:p>
    <w:tbl>
      <w:tblPr>
        <w:tblW w:w="9180" w:type="dxa"/>
        <w:jc w:val="left"/>
        <w:tblInd w:w="104" w:type="dxa"/>
        <w:tblLayout w:type="fixed"/>
        <w:tblCellMar>
          <w:top w:w="75" w:type="dxa"/>
          <w:left w:w="75" w:type="dxa"/>
          <w:bottom w:w="75" w:type="dxa"/>
          <w:right w:w="75" w:type="dxa"/>
        </w:tblCellMar>
        <w:tblLook w:firstRow="0" w:noVBand="0" w:lastRow="0" w:firstColumn="0" w:lastColumn="0" w:noHBand="0" w:val="0000"/>
      </w:tblPr>
      <w:tblGrid>
        <w:gridCol w:w="2239"/>
        <w:gridCol w:w="4981"/>
        <w:gridCol w:w="1960"/>
      </w:tblGrid>
      <w:tr>
        <w:trPr>
          <w:trHeight w:val="60" w:hRule="atLeast"/>
        </w:trPr>
        <w:tc>
          <w:tcPr>
            <w:tcW w:w="9180" w:type="dxa"/>
            <w:gridSpan w:val="3"/>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b/>
                <w:bCs/>
                <w:szCs w:val="20"/>
              </w:rPr>
              <w:t>INFRAÇÃO</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b/>
                <w:bCs/>
                <w:szCs w:val="20"/>
              </w:rPr>
              <w:t>ITEM</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b/>
                <w:bCs/>
                <w:szCs w:val="20"/>
              </w:rPr>
              <w:t>DESCRIÇÃO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b/>
                <w:bCs/>
                <w:szCs w:val="20"/>
              </w:rPr>
              <w:t>GRAU</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szCs w:val="20"/>
              </w:rPr>
              <w:t>1</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Permitir situação que crie a possibilidade de causar dano físico, lesão corporal ou consequências letais,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szCs w:val="20"/>
              </w:rPr>
              <w:t>05</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szCs w:val="20"/>
              </w:rPr>
              <w:t>2</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Suspender ou interromper, salvo motivo de força maior ou caso fortuito, os serviços contratuais por dia e por unidade de atendimento;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szCs w:val="20"/>
              </w:rPr>
              <w:t>04</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szCs w:val="20"/>
              </w:rPr>
              <w:t>3</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Manter funcionário sem qualificação para executar os serviços contratados, por empregado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szCs w:val="20"/>
              </w:rPr>
              <w:t>03</w:t>
            </w:r>
          </w:p>
        </w:tc>
      </w:tr>
      <w:tr>
        <w:trPr>
          <w:trHeight w:val="225" w:hRule="atLeast"/>
        </w:trPr>
        <w:tc>
          <w:tcPr>
            <w:tcW w:w="9180"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b/>
                <w:bCs/>
                <w:szCs w:val="20"/>
              </w:rPr>
              <w:t>Para os itens a seguir, deixar de:</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szCs w:val="20"/>
              </w:rPr>
              <w:t>4</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Cumprir determinação formal ou instrução complementar do órgão fiscalizador,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szCs w:val="20"/>
              </w:rPr>
              <w:t>02</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szCs w:val="20"/>
              </w:rPr>
              <w:t>5</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Cumprir quaisquer dos itens do Edital e seus Anexos não previstos nesta tabela de multas, após reincidência formalmente notificada pelo órgão fiscalizador, por item e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szCs w:val="20"/>
              </w:rPr>
              <w:t>03</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szCs w:val="20"/>
              </w:rPr>
              <w:t>6</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cs="Arial"/>
                <w:szCs w:val="20"/>
              </w:rPr>
            </w:pPr>
            <w:r>
              <w:rPr>
                <w:rFonts w:cs="Arial"/>
                <w:szCs w:val="20"/>
              </w:rPr>
              <w:t>Indicar e manter durante a execução do contrato os prepostos previstos no edital/contrato;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cs="Arial"/>
                <w:szCs w:val="20"/>
              </w:rPr>
            </w:pPr>
            <w:r>
              <w:rPr>
                <w:rFonts w:cs="Arial"/>
                <w:szCs w:val="20"/>
              </w:rPr>
              <w:t>01</w:t>
            </w:r>
          </w:p>
        </w:tc>
      </w:tr>
    </w:tbl>
    <w:p>
      <w:pPr>
        <w:pStyle w:val="Normal"/>
        <w:numPr>
          <w:ilvl w:val="1"/>
          <w:numId w:val="2"/>
        </w:numPr>
        <w:spacing w:lineRule="auto" w:line="276" w:before="120" w:after="120"/>
        <w:ind w:left="716" w:right="-30" w:hanging="432"/>
        <w:jc w:val="both"/>
        <w:rPr>
          <w:rFonts w:cs="Arial"/>
          <w:szCs w:val="20"/>
        </w:rPr>
      </w:pPr>
      <w:r>
        <w:rPr>
          <w:rFonts w:cs="Arial"/>
          <w:szCs w:val="20"/>
        </w:rPr>
        <w:t>Também ficam sujeitas às penalidades do art. 87, III e IV da Lei nº 8.666, de 1993, as empresas ou profissionais que:</w:t>
      </w:r>
    </w:p>
    <w:p>
      <w:pPr>
        <w:pStyle w:val="Normal"/>
        <w:numPr>
          <w:ilvl w:val="2"/>
          <w:numId w:val="2"/>
        </w:numPr>
        <w:spacing w:lineRule="auto" w:line="276" w:before="120" w:after="120"/>
        <w:ind w:left="1922" w:right="-30" w:hanging="504"/>
        <w:jc w:val="both"/>
        <w:rPr>
          <w:rFonts w:cs="Arial"/>
          <w:szCs w:val="20"/>
        </w:rPr>
      </w:pPr>
      <w:r>
        <w:rPr>
          <w:rFonts w:cs="Arial"/>
          <w:szCs w:val="20"/>
        </w:rPr>
        <w:t>tenham sofrido condenação definitiva por praticar, por meio dolosos, fraude fiscal no recolhimento de quaisquer tributos;</w:t>
      </w:r>
    </w:p>
    <w:p>
      <w:pPr>
        <w:pStyle w:val="Normal"/>
        <w:numPr>
          <w:ilvl w:val="2"/>
          <w:numId w:val="2"/>
        </w:numPr>
        <w:spacing w:lineRule="auto" w:line="276" w:before="120" w:after="120"/>
        <w:ind w:left="1922" w:right="-30" w:hanging="504"/>
        <w:jc w:val="both"/>
        <w:rPr>
          <w:rFonts w:cs="Arial"/>
          <w:szCs w:val="20"/>
        </w:rPr>
      </w:pPr>
      <w:r>
        <w:rPr>
          <w:rFonts w:cs="Arial"/>
          <w:szCs w:val="20"/>
        </w:rPr>
        <w:t>tenham praticado atos ilícitos visando a frustrar os objetivos da licitação;</w:t>
      </w:r>
    </w:p>
    <w:p>
      <w:pPr>
        <w:pStyle w:val="Normal"/>
        <w:numPr>
          <w:ilvl w:val="2"/>
          <w:numId w:val="2"/>
        </w:numPr>
        <w:spacing w:lineRule="auto" w:line="276" w:before="120" w:after="120"/>
        <w:ind w:left="1922" w:right="-30" w:hanging="504"/>
        <w:jc w:val="both"/>
        <w:rPr>
          <w:rFonts w:cs="Arial"/>
          <w:szCs w:val="20"/>
        </w:rPr>
      </w:pPr>
      <w:r>
        <w:rPr>
          <w:rFonts w:cs="Arial"/>
          <w:szCs w:val="20"/>
        </w:rPr>
        <w:t xml:space="preserve">demonstrem não possuir idoneidade para contratar com a Administração em virtude de atos ilícitos praticados. </w:t>
      </w:r>
    </w:p>
    <w:p>
      <w:pPr>
        <w:pStyle w:val="Normal"/>
        <w:numPr>
          <w:ilvl w:val="1"/>
          <w:numId w:val="2"/>
        </w:numPr>
        <w:spacing w:lineRule="auto" w:line="276" w:before="120" w:after="120"/>
        <w:ind w:left="716" w:right="-30" w:hanging="432"/>
        <w:jc w:val="both"/>
        <w:rPr>
          <w:rFonts w:cs="Arial"/>
          <w:szCs w:val="20"/>
        </w:rPr>
      </w:pPr>
      <w:r>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2"/>
        </w:numPr>
        <w:spacing w:lineRule="auto" w:line="276" w:before="120" w:after="120"/>
        <w:ind w:left="716" w:right="-30" w:hanging="432"/>
        <w:jc w:val="both"/>
        <w:rPr/>
      </w:pPr>
      <w:r>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numPr>
          <w:ilvl w:val="2"/>
          <w:numId w:val="2"/>
        </w:numPr>
        <w:spacing w:lineRule="auto" w:line="276" w:before="120" w:after="120"/>
        <w:ind w:left="1922" w:right="-30" w:hanging="504"/>
        <w:jc w:val="both"/>
        <w:rPr/>
      </w:pPr>
      <w:r>
        <w:rPr>
          <w:szCs w:val="20"/>
        </w:rPr>
        <w:t>Caso a Contratante determine, a multa deverá ser recolhida no prazo máximo de 20 (vinte) dias, a contar da data do recebimento da comunicação enviada pela autoridade competente.</w:t>
      </w:r>
    </w:p>
    <w:p>
      <w:pPr>
        <w:pStyle w:val="Normal"/>
        <w:numPr>
          <w:ilvl w:val="1"/>
          <w:numId w:val="2"/>
        </w:numPr>
        <w:spacing w:lineRule="auto" w:line="276" w:before="120" w:after="120"/>
        <w:ind w:left="716" w:right="-30" w:hanging="432"/>
        <w:jc w:val="both"/>
        <w:rPr/>
      </w:pPr>
      <w:r>
        <w:rPr/>
        <w:t xml:space="preserve">Caso o valor da multa não seja suficiente para cobrir os prejuízos causados pela conduta </w:t>
      </w:r>
      <w:r>
        <w:rPr>
          <w:szCs w:val="20"/>
        </w:rPr>
        <w:t>do</w:t>
      </w:r>
      <w:r>
        <w:rPr/>
        <w:t xml:space="preserve"> licitante, a União ou Entidade poderá cobrar o valor remanescente judicialmente, conforme artigo 419 do Código Civil.</w:t>
      </w:r>
    </w:p>
    <w:p>
      <w:pPr>
        <w:pStyle w:val="Normal"/>
        <w:numPr>
          <w:ilvl w:val="1"/>
          <w:numId w:val="2"/>
        </w:numPr>
        <w:spacing w:lineRule="auto" w:line="276" w:before="120" w:after="120"/>
        <w:ind w:left="716" w:right="-30" w:hanging="432"/>
        <w:jc w:val="both"/>
        <w:rPr/>
      </w:pPr>
      <w:r>
        <w:rPr/>
        <w:t>A autoridade competente, na aplicação das sanções, levará em consideração a gravidade da conduta do infrator, o caráter educativo da pena, bem como o dano causado à Administração, observado o princípio da proporcionalidade.</w:t>
      </w:r>
    </w:p>
    <w:p>
      <w:pPr>
        <w:pStyle w:val="Nivel2"/>
        <w:numPr>
          <w:ilvl w:val="1"/>
          <w:numId w:val="2"/>
        </w:numPr>
        <w:rPr>
          <w:rFonts w:ascii="Arial" w:hAnsi="Arial" w:cs="Arial"/>
        </w:rPr>
      </w:pPr>
      <w:r>
        <w:rPr>
          <w:rFonts w:cs="Arial" w:ascii="Arial" w:hAnsi="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numPr>
          <w:ilvl w:val="1"/>
          <w:numId w:val="2"/>
        </w:numPr>
        <w:rPr>
          <w:rFonts w:ascii="Arial" w:hAnsi="Arial" w:cs="Arial"/>
        </w:rPr>
      </w:pPr>
      <w:r>
        <w:rPr>
          <w:rFonts w:cs="Arial" w:ascii="Arial" w:hAnsi="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numPr>
          <w:ilvl w:val="1"/>
          <w:numId w:val="2"/>
        </w:numPr>
        <w:rPr>
          <w:rFonts w:ascii="Arial" w:hAnsi="Arial" w:cs="Arial"/>
        </w:rPr>
      </w:pPr>
      <w:r>
        <w:rPr>
          <w:rFonts w:cs="Arial" w:ascii="Arial" w:hAnsi="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1"/>
          <w:numId w:val="2"/>
        </w:numPr>
        <w:spacing w:lineRule="auto" w:line="276" w:before="120" w:after="120"/>
        <w:ind w:left="716" w:right="-30" w:hanging="432"/>
        <w:jc w:val="both"/>
        <w:rPr>
          <w:rFonts w:cs="Arial"/>
          <w:szCs w:val="20"/>
        </w:rPr>
      </w:pPr>
      <w:r>
        <w:rPr>
          <w:rFonts w:cs="Arial"/>
          <w:szCs w:val="20"/>
        </w:rPr>
        <w:t>As penalidades serão obrigatoriamente registradas no SICAF.</w:t>
      </w:r>
    </w:p>
    <w:p>
      <w:pPr>
        <w:pStyle w:val="Nivel1"/>
        <w:numPr>
          <w:ilvl w:val="0"/>
          <w:numId w:val="2"/>
        </w:numPr>
        <w:rPr>
          <w:rFonts w:cs="Arial"/>
          <w:bCs/>
        </w:rPr>
      </w:pPr>
      <w:r>
        <w:rPr>
          <w:rFonts w:cs="Arial"/>
          <w:bCs/>
        </w:rPr>
        <w:t>CRITÉRIOS DE SELEÇÃO DO FORNECEDOR.</w:t>
      </w:r>
    </w:p>
    <w:p>
      <w:pPr>
        <w:pStyle w:val="Normal"/>
        <w:numPr>
          <w:ilvl w:val="1"/>
          <w:numId w:val="2"/>
        </w:numPr>
        <w:spacing w:lineRule="auto" w:line="276" w:before="120" w:after="120"/>
        <w:ind w:left="425" w:hanging="0"/>
        <w:jc w:val="both"/>
        <w:rPr>
          <w:rFonts w:cs="Arial"/>
          <w:szCs w:val="20"/>
        </w:rPr>
      </w:pPr>
      <w:r>
        <w:rPr>
          <w:rFonts w:cs="Arial"/>
          <w:szCs w:val="20"/>
        </w:rPr>
        <w:t>As exigências de habilitação jurídica e de regularidade fiscal e trabalhista são as usuais para a generalidade dos objetos, conforme disciplinado no edital.</w:t>
      </w:r>
    </w:p>
    <w:p>
      <w:pPr>
        <w:pStyle w:val="Normal"/>
        <w:numPr>
          <w:ilvl w:val="1"/>
          <w:numId w:val="2"/>
        </w:numPr>
        <w:spacing w:lineRule="auto" w:line="276" w:before="120" w:after="120"/>
        <w:ind w:left="425" w:hanging="0"/>
        <w:jc w:val="both"/>
        <w:rPr>
          <w:rFonts w:cs="Arial"/>
          <w:szCs w:val="20"/>
        </w:rPr>
      </w:pPr>
      <w:r>
        <w:rPr>
          <w:rFonts w:cs="Arial"/>
          <w:szCs w:val="20"/>
        </w:rPr>
        <w:t>Os critérios de qualificação econômico-financeira a serem atendidos pelo fornecedor estão previstos no edital.</w:t>
      </w:r>
    </w:p>
    <w:p>
      <w:pPr>
        <w:pStyle w:val="Normal"/>
        <w:numPr>
          <w:ilvl w:val="1"/>
          <w:numId w:val="2"/>
        </w:numPr>
        <w:spacing w:lineRule="auto" w:line="276" w:before="120" w:after="120"/>
        <w:ind w:left="425" w:hanging="0"/>
        <w:jc w:val="both"/>
        <w:rPr>
          <w:rFonts w:cs="Arial"/>
          <w:szCs w:val="20"/>
        </w:rPr>
      </w:pPr>
      <w:r>
        <w:rPr>
          <w:rFonts w:cs="Arial"/>
          <w:szCs w:val="20"/>
        </w:rPr>
        <w:t>Os critérios de qualificação técnica a serem atendidos pelo fornecedor serão:</w:t>
      </w:r>
    </w:p>
    <w:p>
      <w:pPr>
        <w:pStyle w:val="Normal"/>
        <w:numPr>
          <w:ilvl w:val="2"/>
          <w:numId w:val="2"/>
        </w:numPr>
        <w:spacing w:lineRule="auto" w:line="276" w:before="120" w:after="120"/>
        <w:jc w:val="both"/>
        <w:rPr/>
      </w:pPr>
      <w:r>
        <w:rPr/>
        <w:t>Ser regulamentada junto à ANATEL para o Serviço Móvel Pessoal (SMP) local e de longa distância;</w:t>
      </w:r>
    </w:p>
    <w:p>
      <w:pPr>
        <w:pStyle w:val="Normal"/>
        <w:numPr>
          <w:ilvl w:val="2"/>
          <w:numId w:val="2"/>
        </w:numPr>
        <w:spacing w:lineRule="auto" w:line="276" w:before="120" w:after="120"/>
        <w:jc w:val="both"/>
        <w:rPr>
          <w:rFonts w:cs="Arial"/>
          <w:bCs/>
          <w:szCs w:val="20"/>
        </w:rPr>
      </w:pPr>
      <w:bookmarkStart w:id="1" w:name="_Hlk519176340"/>
      <w:bookmarkEnd w:id="1"/>
      <w:r>
        <w:rPr>
          <w:rFonts w:cs="Arial"/>
          <w:szCs w:val="2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pPr>
        <w:pStyle w:val="Normal"/>
        <w:numPr>
          <w:ilvl w:val="3"/>
          <w:numId w:val="2"/>
        </w:numPr>
        <w:spacing w:lineRule="auto" w:line="276" w:before="120" w:after="120"/>
        <w:jc w:val="both"/>
        <w:rPr>
          <w:rFonts w:cs="Arial"/>
          <w:bCs/>
          <w:szCs w:val="20"/>
        </w:rPr>
      </w:pPr>
      <w:r>
        <w:rPr>
          <w:rFonts w:cs="Arial"/>
          <w:szCs w:val="20"/>
        </w:rPr>
        <w:t>Para fins da comprovação de que trata este subitem, os atestados deverão dizer respeito a serviços executados com as seguintes características mínimas:</w:t>
      </w:r>
    </w:p>
    <w:p>
      <w:pPr>
        <w:pStyle w:val="Normal"/>
        <w:numPr>
          <w:ilvl w:val="4"/>
          <w:numId w:val="2"/>
        </w:numPr>
        <w:spacing w:lineRule="auto" w:line="276" w:before="120" w:after="120"/>
        <w:jc w:val="both"/>
        <w:rPr>
          <w:rFonts w:cs="Arial"/>
          <w:szCs w:val="20"/>
        </w:rPr>
      </w:pPr>
      <w:r>
        <w:rPr>
          <w:rFonts w:cs="Arial"/>
          <w:szCs w:val="20"/>
        </w:rPr>
        <w:t xml:space="preserve">Deverá haver a comprovação da experiência mínima de 3 (três) anos na prestação dos serviços, sendo aceito o somatório de atestados de períodos diferentes, não </w:t>
      </w:r>
      <w:r>
        <w:rPr/>
        <w:t>havendo</w:t>
      </w:r>
      <w:r>
        <w:rPr>
          <w:rFonts w:cs="Arial"/>
          <w:szCs w:val="20"/>
        </w:rPr>
        <w:t xml:space="preserve"> obrigatoriedade de os 03 (três) anos serem ininterruptos, conforme item 10.7.1 do Anexo VII-A da IN SEGES/MPDG n. 5/2017.</w:t>
      </w:r>
    </w:p>
    <w:p>
      <w:pPr>
        <w:pStyle w:val="Normal"/>
        <w:numPr>
          <w:ilvl w:val="3"/>
          <w:numId w:val="2"/>
        </w:numPr>
        <w:spacing w:lineRule="auto" w:line="276" w:before="120" w:after="120"/>
        <w:jc w:val="both"/>
        <w:rPr>
          <w:rFonts w:cs="Arial"/>
          <w:szCs w:val="20"/>
        </w:rPr>
      </w:pPr>
      <w:bookmarkStart w:id="2" w:name="_Hlk5191763401"/>
      <w:bookmarkEnd w:id="2"/>
      <w:r>
        <w:rPr>
          <w:rFonts w:cs="Arial"/>
          <w:szCs w:val="20"/>
        </w:rPr>
        <w:t xml:space="preserve">Os atestados deverão referir-se a serviços prestados no âmbito de sua atividade econômica principal ou secundária especificadas no contrato social vigente; </w:t>
      </w:r>
    </w:p>
    <w:p>
      <w:pPr>
        <w:pStyle w:val="Normal"/>
        <w:numPr>
          <w:ilvl w:val="3"/>
          <w:numId w:val="2"/>
        </w:numPr>
        <w:spacing w:lineRule="auto" w:line="276" w:before="120" w:after="120"/>
        <w:jc w:val="both"/>
        <w:rPr>
          <w:rFonts w:cs="Arial"/>
          <w:szCs w:val="20"/>
        </w:rPr>
      </w:pPr>
      <w:r>
        <w:rPr>
          <w:rFonts w:cs="Arial"/>
          <w:szCs w:val="2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bookmarkStart w:id="3" w:name="_Hlk519177818"/>
      <w:bookmarkEnd w:id="3"/>
    </w:p>
    <w:p>
      <w:pPr>
        <w:pStyle w:val="Normal"/>
        <w:numPr>
          <w:ilvl w:val="3"/>
          <w:numId w:val="2"/>
        </w:numPr>
        <w:spacing w:lineRule="auto" w:line="276" w:before="120" w:after="120"/>
        <w:jc w:val="both"/>
        <w:rPr>
          <w:rFonts w:cs="Arial"/>
          <w:szCs w:val="20"/>
        </w:rPr>
      </w:pPr>
      <w:r>
        <w:rPr>
          <w:rFonts w:cs="Arial"/>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bookmarkStart w:id="4" w:name="_Hlk519177062"/>
      <w:bookmarkEnd w:id="4"/>
    </w:p>
    <w:p>
      <w:pPr>
        <w:pStyle w:val="Normal"/>
        <w:numPr>
          <w:ilvl w:val="3"/>
          <w:numId w:val="2"/>
        </w:numPr>
        <w:spacing w:lineRule="auto" w:line="276" w:before="120" w:after="120"/>
        <w:jc w:val="both"/>
        <w:rPr>
          <w:rFonts w:cs="Arial"/>
          <w:szCs w:val="20"/>
        </w:rPr>
      </w:pPr>
      <w:r>
        <w:rPr>
          <w:rFonts w:cs="Arial"/>
          <w:color w:val="000000"/>
          <w:szCs w:val="20"/>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w:t>
      </w:r>
      <w:r>
        <w:rPr>
          <w:rFonts w:cs="Arial"/>
          <w:szCs w:val="20"/>
        </w:rPr>
        <w:t>SEGES/MP n. 5/2017.</w:t>
      </w:r>
    </w:p>
    <w:p>
      <w:pPr>
        <w:pStyle w:val="Normal"/>
        <w:numPr>
          <w:ilvl w:val="1"/>
          <w:numId w:val="2"/>
        </w:numPr>
        <w:spacing w:lineRule="auto" w:line="276" w:before="120" w:after="120"/>
        <w:ind w:left="1134" w:hanging="709"/>
        <w:jc w:val="both"/>
        <w:rPr>
          <w:szCs w:val="20"/>
        </w:rPr>
      </w:pPr>
      <w:r>
        <w:rPr>
          <w:szCs w:val="20"/>
        </w:rPr>
        <w:t>O critério de aceitabilidade de preços é sigiloso, nos termos do art. 15 do Decreto nº 10.024, de 2019, do art. 7º, §3º da Lei nº 12.527, de 2011, e do art. 20 do Decreto nº 7.724, de 2012.</w:t>
      </w:r>
    </w:p>
    <w:p>
      <w:pPr>
        <w:pStyle w:val="Normal"/>
        <w:numPr>
          <w:ilvl w:val="1"/>
          <w:numId w:val="2"/>
        </w:numPr>
        <w:spacing w:lineRule="auto" w:line="276" w:before="120" w:after="120"/>
        <w:ind w:left="1134" w:hanging="709"/>
        <w:jc w:val="both"/>
        <w:rPr>
          <w:rFonts w:cs="Arial"/>
          <w:szCs w:val="20"/>
        </w:rPr>
      </w:pPr>
      <w:r>
        <w:rPr>
          <w:rFonts w:cs="Arial"/>
          <w:szCs w:val="20"/>
        </w:rPr>
        <w:t>O critério de julgamento da proposta é o menor preço por item.</w:t>
      </w:r>
    </w:p>
    <w:p>
      <w:pPr>
        <w:pStyle w:val="Normal"/>
        <w:numPr>
          <w:ilvl w:val="1"/>
          <w:numId w:val="2"/>
        </w:numPr>
        <w:spacing w:lineRule="auto" w:line="276" w:before="120" w:after="120"/>
        <w:ind w:left="1134" w:right="-17" w:hanging="709"/>
        <w:jc w:val="both"/>
        <w:rPr>
          <w:rFonts w:cs="Arial"/>
          <w:szCs w:val="20"/>
          <w:lang w:val="x-none"/>
        </w:rPr>
      </w:pPr>
      <w:r>
        <w:rPr>
          <w:rFonts w:cs="Arial"/>
          <w:szCs w:val="20"/>
        </w:rPr>
        <w:t>As regras de desempate entre propostas são as discriminadas no edital.</w:t>
      </w:r>
    </w:p>
    <w:p>
      <w:pPr>
        <w:pStyle w:val="Nivel1"/>
        <w:numPr>
          <w:ilvl w:val="0"/>
          <w:numId w:val="2"/>
        </w:numPr>
        <w:rPr>
          <w:rFonts w:cs="Arial"/>
          <w:bCs/>
        </w:rPr>
      </w:pPr>
      <w:r>
        <w:rPr>
          <w:rFonts w:cs="Arial"/>
          <w:bCs/>
        </w:rPr>
        <w:t>ESTIMATIVA DE PREÇOS E PREÇOS REFERENCIAIS.</w:t>
      </w:r>
    </w:p>
    <w:p>
      <w:pPr>
        <w:pStyle w:val="Normal"/>
        <w:numPr>
          <w:ilvl w:val="1"/>
          <w:numId w:val="2"/>
        </w:numPr>
        <w:spacing w:lineRule="auto" w:line="276" w:before="120" w:after="120"/>
        <w:ind w:left="993" w:hanging="709"/>
        <w:jc w:val="both"/>
        <w:rPr/>
      </w:pPr>
      <w:r>
        <w:rPr/>
        <w:t xml:space="preserve">O custo </w:t>
      </w:r>
      <w:r>
        <w:rPr>
          <w:rFonts w:cs="Arial"/>
          <w:szCs w:val="20"/>
        </w:rPr>
        <w:t>estimado</w:t>
      </w:r>
      <w:r>
        <w:rPr/>
        <w:t xml:space="preserve"> da contratação será tornado público apenas e imediatamente após o encerramento do envio de lances.</w:t>
      </w:r>
    </w:p>
    <w:p>
      <w:pPr>
        <w:pStyle w:val="Nivel1"/>
        <w:numPr>
          <w:ilvl w:val="0"/>
          <w:numId w:val="2"/>
        </w:numPr>
        <w:rPr>
          <w:rFonts w:cs="Arial"/>
          <w:bCs/>
        </w:rPr>
      </w:pPr>
      <w:r>
        <w:rPr>
          <w:rFonts w:cs="Arial"/>
          <w:bCs/>
        </w:rPr>
        <w:t>DOS RECURSOS ORÇAMENTÁRIOS.</w:t>
      </w:r>
    </w:p>
    <w:p>
      <w:pPr>
        <w:pStyle w:val="Normal"/>
        <w:numPr>
          <w:ilvl w:val="1"/>
          <w:numId w:val="39"/>
        </w:numPr>
        <w:spacing w:lineRule="auto" w:line="276" w:before="120" w:after="120"/>
        <w:ind w:left="851" w:hanging="567"/>
        <w:jc w:val="both"/>
        <w:rPr>
          <w:rFonts w:cs="Arial"/>
          <w:iCs/>
          <w:szCs w:val="20"/>
        </w:rPr>
      </w:pPr>
      <w:r>
        <w:rPr>
          <w:rFonts w:cs="Arial"/>
          <w:iCs/>
          <w:szCs w:val="20"/>
        </w:rPr>
        <w:t>As despesas decorrentes da presente contratação correrão à conta de recursos específicos consignados no Orçamento do Conselho de Arquitetura e Urbanismo do Paraná – CAU/PR, deste exercício e do ano de 2022, na dotação abaixo discriminada:</w:t>
      </w:r>
    </w:p>
    <w:p>
      <w:pPr>
        <w:pStyle w:val="Normal"/>
        <w:spacing w:lineRule="auto" w:line="276" w:before="120" w:after="120"/>
        <w:ind w:left="851" w:hanging="0"/>
        <w:jc w:val="both"/>
        <w:rPr>
          <w:rFonts w:cs="Arial"/>
          <w:iCs/>
          <w:szCs w:val="20"/>
        </w:rPr>
      </w:pPr>
      <w:r>
        <w:rPr>
          <w:rFonts w:cs="Arial"/>
          <w:iCs/>
          <w:szCs w:val="20"/>
        </w:rPr>
      </w:r>
    </w:p>
    <w:p>
      <w:pPr>
        <w:pStyle w:val="Normal"/>
        <w:spacing w:lineRule="auto" w:line="276" w:before="120" w:after="120"/>
        <w:ind w:left="1133" w:firstLine="283"/>
        <w:jc w:val="both"/>
        <w:rPr>
          <w:rFonts w:cs="Arial"/>
          <w:iCs/>
          <w:szCs w:val="20"/>
        </w:rPr>
      </w:pPr>
      <w:r>
        <w:rPr>
          <w:rFonts w:cs="Arial"/>
          <w:b/>
          <w:iCs/>
          <w:szCs w:val="20"/>
        </w:rPr>
        <w:t>Unidade responsável:</w:t>
      </w:r>
      <w:r>
        <w:rPr>
          <w:rFonts w:cs="Arial"/>
          <w:iCs/>
          <w:szCs w:val="20"/>
        </w:rPr>
        <w:t xml:space="preserve"> Gerência Administrativa;</w:t>
      </w:r>
    </w:p>
    <w:p>
      <w:pPr>
        <w:pStyle w:val="Normal"/>
        <w:spacing w:lineRule="auto" w:line="276" w:before="120" w:after="120"/>
        <w:ind w:left="850" w:firstLine="566"/>
        <w:jc w:val="both"/>
        <w:rPr>
          <w:rFonts w:cs="Arial"/>
          <w:iCs/>
          <w:szCs w:val="20"/>
        </w:rPr>
      </w:pPr>
      <w:r>
        <w:rPr>
          <w:rFonts w:cs="Arial"/>
          <w:b/>
          <w:iCs/>
          <w:szCs w:val="20"/>
        </w:rPr>
        <w:t>Dotação Orçamentária:</w:t>
      </w:r>
      <w:r>
        <w:rPr>
          <w:rFonts w:cs="Arial"/>
          <w:iCs/>
          <w:szCs w:val="20"/>
        </w:rPr>
        <w:t xml:space="preserve"> 6.2.2.1.1.01.04.04.020 - Despesas com Telecomunicações;</w:t>
      </w:r>
    </w:p>
    <w:p>
      <w:pPr>
        <w:pStyle w:val="Normal"/>
        <w:spacing w:lineRule="auto" w:line="276" w:before="120" w:after="120"/>
        <w:ind w:left="850" w:firstLine="566"/>
        <w:jc w:val="both"/>
        <w:rPr>
          <w:rFonts w:cs="Arial"/>
          <w:i/>
          <w:i/>
          <w:iCs/>
          <w:szCs w:val="20"/>
        </w:rPr>
      </w:pPr>
      <w:r>
        <w:rPr>
          <w:rFonts w:cs="Arial"/>
          <w:i/>
          <w:iCs/>
          <w:szCs w:val="20"/>
        </w:rPr>
      </w:r>
      <w:bookmarkStart w:id="5" w:name="_GoBack"/>
      <w:bookmarkStart w:id="6" w:name="_GoBack"/>
      <w:bookmarkEnd w:id="6"/>
    </w:p>
    <w:p>
      <w:pPr>
        <w:pStyle w:val="Normal"/>
        <w:spacing w:lineRule="auto" w:line="276" w:before="120" w:after="120"/>
        <w:ind w:left="850" w:firstLine="566"/>
        <w:jc w:val="both"/>
        <w:rPr>
          <w:rFonts w:cs="Arial"/>
          <w:i/>
          <w:i/>
          <w:iCs/>
          <w:szCs w:val="20"/>
        </w:rPr>
      </w:pPr>
      <w:r>
        <w:rPr>
          <w:rFonts w:cs="Arial"/>
          <w:i/>
          <w:iCs/>
          <w:szCs w:val="20"/>
        </w:rPr>
      </w:r>
    </w:p>
    <w:p>
      <w:pPr>
        <w:pStyle w:val="Normal"/>
        <w:spacing w:lineRule="auto" w:line="276" w:before="120" w:after="120"/>
        <w:jc w:val="both"/>
        <w:rPr>
          <w:rFonts w:cs="Arial"/>
          <w:szCs w:val="20"/>
        </w:rPr>
      </w:pPr>
      <w:r>
        <w:rPr>
          <w:rFonts w:cs="Arial"/>
          <w:szCs w:val="20"/>
        </w:rPr>
      </w:r>
    </w:p>
    <w:p>
      <w:pPr>
        <w:pStyle w:val="Normal"/>
        <w:spacing w:before="0" w:after="360"/>
        <w:ind w:left="360" w:hanging="0"/>
        <w:jc w:val="right"/>
        <w:rPr>
          <w:rFonts w:cs="Arial"/>
          <w:szCs w:val="20"/>
        </w:rPr>
      </w:pPr>
      <w:r>
        <w:rPr>
          <w:rFonts w:cs="Arial"/>
          <w:szCs w:val="20"/>
        </w:rPr>
        <w:t>Curitiba, 26 de outubro de 2021.</w:t>
      </w:r>
    </w:p>
    <w:p>
      <w:pPr>
        <w:pStyle w:val="Normal"/>
        <w:spacing w:before="0" w:after="360"/>
        <w:ind w:left="360" w:hanging="0"/>
        <w:jc w:val="right"/>
        <w:rPr>
          <w:rFonts w:cs="Arial"/>
          <w:szCs w:val="20"/>
        </w:rPr>
      </w:pPr>
      <w:r>
        <w:rPr>
          <w:rFonts w:cs="Arial"/>
          <w:szCs w:val="20"/>
        </w:rPr>
      </w:r>
    </w:p>
    <w:p>
      <w:pPr>
        <w:pStyle w:val="Normal"/>
        <w:spacing w:before="0" w:after="360"/>
        <w:ind w:left="360" w:hanging="0"/>
        <w:jc w:val="right"/>
        <w:rPr>
          <w:rFonts w:cs="Arial"/>
          <w:szCs w:val="20"/>
        </w:rPr>
      </w:pPr>
      <w:r>
        <w:rPr>
          <w:rFonts w:cs="Arial"/>
          <w:szCs w:val="20"/>
        </w:rPr>
      </w:r>
    </w:p>
    <w:p>
      <w:pPr>
        <w:pStyle w:val="Normal"/>
        <w:spacing w:before="0" w:after="360"/>
        <w:ind w:left="360" w:hanging="0"/>
        <w:jc w:val="right"/>
        <w:rPr>
          <w:rFonts w:cs="Arial"/>
          <w:szCs w:val="20"/>
        </w:rPr>
      </w:pPr>
      <w:r>
        <w:rPr>
          <w:rFonts w:cs="Arial"/>
          <w:szCs w:val="20"/>
        </w:rPr>
      </w:r>
    </w:p>
    <w:p>
      <w:pPr>
        <w:pStyle w:val="Normal"/>
        <w:spacing w:lineRule="auto" w:line="360"/>
        <w:ind w:left="360" w:hanging="0"/>
        <w:jc w:val="center"/>
        <w:rPr>
          <w:rFonts w:cs="Arial"/>
          <w:szCs w:val="20"/>
        </w:rPr>
      </w:pPr>
      <w:r>
        <w:rPr>
          <w:rFonts w:cs="Arial"/>
          <w:szCs w:val="20"/>
        </w:rPr>
        <w:t>__________________________________</w:t>
      </w:r>
    </w:p>
    <w:p>
      <w:pPr>
        <w:pStyle w:val="Normal"/>
        <w:ind w:left="360" w:hanging="0"/>
        <w:jc w:val="center"/>
        <w:rPr>
          <w:rFonts w:cs="Arial"/>
          <w:b/>
          <w:b/>
          <w:szCs w:val="20"/>
        </w:rPr>
      </w:pPr>
      <w:r>
        <w:rPr>
          <w:rFonts w:cs="Arial"/>
          <w:b/>
          <w:szCs w:val="20"/>
        </w:rPr>
        <w:t>Marcos Vinicius Rissatto Ramos</w:t>
      </w:r>
    </w:p>
    <w:p>
      <w:pPr>
        <w:pStyle w:val="Normal"/>
        <w:ind w:left="360" w:hanging="0"/>
        <w:jc w:val="center"/>
        <w:rPr>
          <w:rFonts w:cs="Arial"/>
          <w:b/>
          <w:b/>
        </w:rPr>
      </w:pPr>
      <w:r>
        <w:rPr>
          <w:rFonts w:cs="Arial"/>
          <w:szCs w:val="20"/>
        </w:rPr>
        <w:t>Analista de TI</w:t>
      </w:r>
    </w:p>
    <w:p>
      <w:pPr>
        <w:pStyle w:val="Normal"/>
        <w:rPr/>
      </w:pPr>
      <w:r>
        <w:rPr/>
      </w:r>
    </w:p>
    <w:sectPr>
      <w:headerReference w:type="default" r:id="rId2"/>
      <w:footerReference w:type="default" r:id="rId3"/>
      <w:type w:val="nextPage"/>
      <w:pgSz w:w="11906" w:h="16838"/>
      <w:pgMar w:left="1701" w:right="1134" w:header="709" w:top="1581"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604856075"/>
    </w:sdtPr>
    <w:sdtContent>
      <w:p>
        <w:pPr>
          <w:pStyle w:val="Rodap"/>
          <w:jc w:val="right"/>
          <w:rPr/>
        </w:pPr>
        <w:r>
          <w:rPr/>
          <w:t xml:space="preserve"> </w:t>
        </w:r>
        <w:r>
          <w:rPr>
            <w:b/>
            <w:bCs/>
            <w:sz w:val="24"/>
          </w:rPr>
          <w:fldChar w:fldCharType="begin"/>
        </w:r>
        <w:r>
          <w:rPr>
            <w:sz w:val="24"/>
            <w:b/>
            <w:bCs/>
          </w:rPr>
          <w:instrText> PAGE </w:instrText>
        </w:r>
        <w:r>
          <w:rPr>
            <w:sz w:val="24"/>
            <w:b/>
            <w:bCs/>
          </w:rPr>
          <w:fldChar w:fldCharType="separate"/>
        </w:r>
        <w:r>
          <w:rPr>
            <w:sz w:val="24"/>
            <w:b/>
            <w:bCs/>
          </w:rPr>
          <w:t>16</w:t>
        </w:r>
        <w:r>
          <w:rPr>
            <w:sz w:val="24"/>
            <w:b/>
            <w:bCs/>
          </w:rPr>
          <w:fldChar w:fldCharType="end"/>
        </w:r>
        <w:r>
          <w:rPr/>
          <w:t xml:space="preserve"> </w:t>
        </w:r>
        <w:r>
          <w:rPr/>
          <w:t xml:space="preserve">de </w:t>
        </w:r>
        <w:r>
          <w:rPr>
            <w:b/>
            <w:bCs/>
            <w:sz w:val="24"/>
          </w:rPr>
          <w:fldChar w:fldCharType="begin"/>
        </w:r>
        <w:r>
          <w:rPr>
            <w:sz w:val="24"/>
            <w:b/>
            <w:bCs/>
          </w:rPr>
          <w:instrText> NUMPAGES </w:instrText>
        </w:r>
        <w:r>
          <w:rPr>
            <w:sz w:val="24"/>
            <w:b/>
            <w:bCs/>
          </w:rPr>
          <w:fldChar w:fldCharType="separate"/>
        </w:r>
        <w:r>
          <w:rPr>
            <w:sz w:val="24"/>
            <w:b/>
            <w:bCs/>
          </w:rPr>
          <w:t>16</w:t>
        </w:r>
        <w:r>
          <w:rPr>
            <w:sz w:val="24"/>
            <w:b/>
            <w:bCs/>
          </w:rPr>
          <w:fldChar w:fldCharType="end"/>
        </w:r>
      </w:p>
    </w:sdtContent>
  </w:sdt>
  <w:p>
    <w:pPr>
      <w:pStyle w:val="Rodap"/>
      <w:rPr>
        <w:rFonts w:ascii="Times New Roman" w:hAnsi="Times New Roman" w:cs="Times New Roman"/>
      </w:rPr>
    </w:pPr>
    <w:r>
      <w:rPr>
        <w:rFonts w:cs="Times New Roman" w:ascii="Times New Roman" w:hAnsi="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17">
          <wp:simplePos x="0" y="0"/>
          <wp:positionH relativeFrom="column">
            <wp:posOffset>-667385</wp:posOffset>
          </wp:positionH>
          <wp:positionV relativeFrom="paragraph">
            <wp:posOffset>-389255</wp:posOffset>
          </wp:positionV>
          <wp:extent cx="5400040" cy="630555"/>
          <wp:effectExtent l="0" t="0" r="0" b="0"/>
          <wp:wrapNone/>
          <wp:docPr id="1"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rPr>
        <w:i w:val="false"/>
        <w:color w:val="auto"/>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502" w:hanging="360"/>
      </w:pPr>
      <w:rPr>
        <w:dstrike w:val="false"/>
        <w:strike w:val="false"/>
        <w:i w:val="false"/>
        <w:b/>
        <w:rFonts w:ascii="Arial" w:hAnsi="Arial"/>
      </w:rPr>
    </w:lvl>
    <w:lvl w:ilvl="1">
      <w:start w:val="1"/>
      <w:numFmt w:val="decimal"/>
      <w:lvlText w:val="%1.%2."/>
      <w:lvlJc w:val="left"/>
      <w:pPr>
        <w:tabs>
          <w:tab w:val="num" w:pos="0"/>
        </w:tabs>
        <w:ind w:left="858" w:hanging="432"/>
      </w:pPr>
      <w:rPr>
        <w:dstrike w:val="false"/>
        <w:strike w:val="false"/>
        <w:b w:val="false"/>
        <w:rFonts w:ascii="Arial" w:hAnsi="Arial"/>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lvl w:ilvl="0">
      <w:start w:val="1"/>
      <w:numFmt w:val="decimal"/>
      <w:lvlText w:val="%1."/>
      <w:lvlJc w:val="left"/>
      <w:pPr>
        <w:tabs>
          <w:tab w:val="num" w:pos="0"/>
        </w:tabs>
        <w:ind w:left="644" w:hanging="360"/>
      </w:pPr>
      <w:rPr>
        <w:i w:val="false"/>
      </w:rPr>
    </w:lvl>
    <w:lvl w:ilvl="1">
      <w:start w:val="1"/>
      <w:numFmt w:val="decimal"/>
      <w:lvlText w:val="%1.%2."/>
      <w:lvlJc w:val="left"/>
      <w:pPr>
        <w:tabs>
          <w:tab w:val="num" w:pos="0"/>
        </w:tabs>
        <w:ind w:left="716" w:hanging="432"/>
      </w:pPr>
      <w:rPr>
        <w:i w:val="false"/>
        <w:b w:val="false"/>
        <w:lang w:val="x-none"/>
      </w:rPr>
    </w:lvl>
    <w:lvl w:ilvl="2">
      <w:start w:val="1"/>
      <w:numFmt w:val="upperRoman"/>
      <w:lvlText w:val="%3."/>
      <w:lvlJc w:val="righ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rPr>
        <w:i w:val="false"/>
        <w:color w:val="auto"/>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rPr>
        <w:i w:val="false"/>
        <w:color w:val="auto"/>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rPr>
        <w:i w:val="false"/>
        <w:color w:val="auto"/>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rPr>
        <w:i w:val="false"/>
        <w:color w:val="auto"/>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rPr>
        <w:i w:val="false"/>
        <w:color w:val="auto"/>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rPr>
        <w:i w:val="false"/>
        <w:color w:val="auto"/>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rPr>
        <w:i w:val="false"/>
        <w:color w:val="auto"/>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
    <w:lvlOverride w:ilvl="1">
      <w:startOverride w:val="1"/>
    </w:lvlOverride>
  </w:num>
  <w:num w:numId="18">
    <w:abstractNumId w:val="2"/>
    <w:lvlOverride w:ilvl="1">
      <w:startOverride w:val="1"/>
    </w:lvlOverride>
  </w:num>
  <w:num w:numId="19">
    <w:abstractNumId w:val="10"/>
    <w:lvlOverride w:ilvl="2">
      <w:startOverride w:val="1"/>
    </w:lvlOverride>
  </w:num>
  <w:num w:numId="20">
    <w:abstractNumId w:val="10"/>
  </w:num>
  <w:num w:numId="21">
    <w:abstractNumId w:val="10"/>
  </w:num>
  <w:num w:numId="22">
    <w:abstractNumId w:val="10"/>
  </w:num>
  <w:num w:numId="23">
    <w:abstractNumId w:val="10"/>
  </w:num>
  <w:num w:numId="24">
    <w:abstractNumId w:val="2"/>
  </w:num>
  <w:num w:numId="25">
    <w:abstractNumId w:val="12"/>
    <w:lvlOverride w:ilvl="2">
      <w:startOverride w:val="1"/>
    </w:lvlOverride>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2"/>
  </w:num>
  <w:num w:numId="37">
    <w:abstractNumId w:val="2"/>
  </w:num>
  <w:num w:numId="38">
    <w:abstractNumId w:val="2"/>
  </w:num>
  <w:num w:numId="39">
    <w:abstractNumId w:val="2"/>
    <w:lvlOverride w:ilvl="1">
      <w:startOverride w:val="1"/>
    </w:lvlOverride>
  </w:num>
</w:numbering>
</file>

<file path=word/settings.xml><?xml version="1.0" encoding="utf-8"?>
<w:settings xmlns:w="http://schemas.openxmlformats.org/wordprocessingml/2006/main">
  <w:zoom w:percent="150"/>
  <w:mirrorMargi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390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0d390a"/>
    <w:pPr>
      <w:keepNext w:val="true"/>
      <w:keepLines/>
      <w:spacing w:before="240" w:after="0"/>
      <w:outlineLvl w:val="0"/>
    </w:pPr>
    <w:rPr>
      <w:rFonts w:ascii="Cambria" w:hAnsi="Cambria" w:eastAsia="ＭＳ ゴシック" w:cs="Times New Roman"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lang w:val="x-none" w:eastAsia="x-none"/>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Annotationreference">
    <w:name w:val="annotation reference"/>
    <w:basedOn w:val="DefaultParagraphFont"/>
    <w:uiPriority w:val="99"/>
    <w:semiHidden/>
    <w:unhideWhenUsed/>
    <w:qFormat/>
    <w:rsid w:val="0015519e"/>
    <w:rPr>
      <w:sz w:val="16"/>
      <w:szCs w:val="16"/>
    </w:rPr>
  </w:style>
  <w:style w:type="character" w:styleId="TextodecomentrioChar" w:customStyle="1">
    <w:name w:val="Texto de comentário Char"/>
    <w:basedOn w:val="DefaultParagraphFont"/>
    <w:link w:val="Textodecomentrio"/>
    <w:uiPriority w:val="99"/>
    <w:qFormat/>
    <w:rsid w:val="0015519e"/>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15519e"/>
    <w:rPr>
      <w:rFonts w:ascii="Ecofont_Spranq_eco_Sans" w:hAnsi="Ecofont_Spranq_eco_Sans" w:cs="Tahoma"/>
      <w:b/>
      <w:bCs/>
    </w:rPr>
  </w:style>
  <w:style w:type="character" w:styleId="PlaceholderText">
    <w:name w:val="Placeholder Text"/>
    <w:basedOn w:val="DefaultParagraphFont"/>
    <w:uiPriority w:val="99"/>
    <w:semiHidden/>
    <w:qFormat/>
    <w:rsid w:val="00dd3355"/>
    <w:rPr>
      <w:color w:val="808080"/>
    </w:rPr>
  </w:style>
  <w:style w:type="character" w:styleId="CabealhoChar" w:customStyle="1">
    <w:name w:val="Cabeçalho Char"/>
    <w:basedOn w:val="DefaultParagraphFont"/>
    <w:link w:val="Cabealho"/>
    <w:qFormat/>
    <w:rsid w:val="00db64ef"/>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db64ef"/>
    <w:rPr>
      <w:rFonts w:ascii="Ecofont_Spranq_eco_Sans" w:hAnsi="Ecofont_Spranq_eco_Sans" w:cs="Tahoma"/>
      <w:sz w:val="24"/>
      <w:szCs w:val="24"/>
    </w:rPr>
  </w:style>
  <w:style w:type="character" w:styleId="Ttulo1Char" w:customStyle="1">
    <w:name w:val="Título 1 Char"/>
    <w:basedOn w:val="DefaultParagraphFont"/>
    <w:link w:val="Ttulo1"/>
    <w:qFormat/>
    <w:rsid w:val="000d390a"/>
    <w:rPr>
      <w:rFonts w:ascii="Cambria" w:hAnsi="Cambria" w:eastAsia="ＭＳ ゴシック" w:cs="Times New Roman"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0d390a"/>
    <w:rPr>
      <w:rFonts w:ascii="Arial" w:hAnsi="Arial" w:eastAsia="ＭＳ ゴシック" w:cs="Times New Roman" w:cstheme="majorBidi" w:eastAsiaTheme="majorEastAsia"/>
      <w:b/>
      <w:color w:val="000000"/>
      <w:sz w:val="32"/>
      <w:szCs w:val="32"/>
    </w:rPr>
  </w:style>
  <w:style w:type="character" w:styleId="QuoteChar" w:customStyle="1">
    <w:name w:val="Quote Char"/>
    <w:link w:val="Citao1"/>
    <w:uiPriority w:val="99"/>
    <w:qFormat/>
    <w:rsid w:val="00b222ee"/>
    <w:rPr>
      <w:rFonts w:ascii="Ecofont_Spranq_eco_Sans" w:hAnsi="Ecofont_Spranq_eco_Sans" w:cs="Ecofont_Spranq_eco_Sans"/>
      <w:i/>
      <w:iCs/>
      <w:color w:val="000000"/>
      <w:sz w:val="24"/>
      <w:szCs w:val="24"/>
      <w:shd w:fill="FFFFCC" w:val="clear"/>
      <w:lang w:eastAsia="en-US"/>
    </w:rPr>
  </w:style>
  <w:style w:type="character" w:styleId="Appleconvertedspace" w:customStyle="1">
    <w:name w:val="apple-converted-space"/>
    <w:basedOn w:val="DefaultParagraphFont"/>
    <w:qFormat/>
    <w:rsid w:val="00e014b9"/>
    <w:rPr/>
  </w:style>
  <w:style w:type="character" w:styleId="Nivel01Char" w:customStyle="1">
    <w:name w:val="Nivel 01 Char"/>
    <w:basedOn w:val="DefaultParagraphFont"/>
    <w:link w:val="Nivel010"/>
    <w:qFormat/>
    <w:locked/>
    <w:rsid w:val="0085196b"/>
    <w:rPr>
      <w:rFonts w:ascii="Arial" w:hAnsi="Arial" w:eastAsia="ＭＳ ゴシック" w:cs="Times New Roman" w:cstheme="majorBidi" w:eastAsiaTheme="majorEastAsia"/>
      <w:b/>
      <w:bCs/>
      <w:color w:val="000000"/>
      <w:sz w:val="32"/>
      <w:szCs w:val="32"/>
    </w:rPr>
  </w:style>
  <w:style w:type="character" w:styleId="Strong">
    <w:name w:val="Strong"/>
    <w:basedOn w:val="DefaultParagraphFont"/>
    <w:uiPriority w:val="22"/>
    <w:qFormat/>
    <w:rsid w:val="0085196b"/>
    <w:rPr>
      <w:b/>
      <w:bCs/>
    </w:rPr>
  </w:style>
  <w:style w:type="character" w:styleId="GradeColoridanfase1Char" w:customStyle="1">
    <w:name w:val="Grade Colorida - Ênfase 1 Char"/>
    <w:link w:val="GradeColorida-nfase11"/>
    <w:qFormat/>
    <w:rsid w:val="00dd3603"/>
    <w:rPr>
      <w:rFonts w:ascii="Ecofont_Spranq_eco_Sans" w:hAnsi="Ecofont_Spranq_eco_Sans" w:eastAsia="Calibri" w:cs="Ecofont_Spranq_eco_Sans"/>
      <w:i/>
      <w:iCs/>
      <w:color w:val="000000"/>
      <w:szCs w:val="24"/>
      <w:shd w:fill="FFFFCC" w:val="clear"/>
      <w:lang w:val="x-none"/>
    </w:rPr>
  </w:style>
  <w:style w:type="character" w:styleId="WW8Num2z1" w:customStyle="1">
    <w:name w:val="WW8Num2z1"/>
    <w:qFormat/>
    <w:rsid w:val="007b7e1c"/>
    <w:rPr>
      <w:i w:val="false"/>
    </w:rPr>
  </w:style>
  <w:style w:type="character" w:styleId="Nivel2Char" w:customStyle="1">
    <w:name w:val="Nivel 2 Char"/>
    <w:basedOn w:val="DefaultParagraphFont"/>
    <w:link w:val="Nivel2"/>
    <w:qFormat/>
    <w:rsid w:val="00bb7bce"/>
    <w:rPr>
      <w:rFonts w:ascii="Ecofont_Spranq_eco_Sans" w:hAnsi="Ecofont_Spranq_eco_Sans" w:eastAsia="Arial Unicode MS"/>
    </w:rPr>
  </w:style>
  <w:style w:type="character" w:styleId="Nfase">
    <w:name w:val="Ênfase"/>
    <w:basedOn w:val="DefaultParagraphFont"/>
    <w:uiPriority w:val="20"/>
    <w:qFormat/>
    <w:rsid w:val="005f6dad"/>
    <w:rPr>
      <w:i/>
      <w:iCs/>
    </w:rPr>
  </w:style>
  <w:style w:type="character" w:styleId="CorpodetextoChar" w:customStyle="1">
    <w:name w:val="Corpo de texto Char"/>
    <w:basedOn w:val="DefaultParagraphFont"/>
    <w:link w:val="Corpodetexto"/>
    <w:uiPriority w:val="1"/>
    <w:qFormat/>
    <w:rsid w:val="00d87f05"/>
    <w:rPr>
      <w:rFonts w:ascii="Arial" w:hAnsi="Arial" w:eastAsia="Arial" w:cs="Arial"/>
      <w:sz w:val="24"/>
      <w:szCs w:val="24"/>
      <w:lang w:val="pt-PT" w:eastAsia="en-U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d87f05"/>
    <w:pPr>
      <w:widowControl w:val="false"/>
    </w:pPr>
    <w:rPr>
      <w:rFonts w:eastAsia="Arial" w:cs="Arial"/>
      <w:sz w:val="24"/>
      <w:lang w:val="pt-PT" w:eastAsia="en-US"/>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cs="Times New Roman"/>
      <w:sz w:val="16"/>
      <w:szCs w:val="16"/>
      <w:lang w:val="x-none" w:eastAsia="x-none"/>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Normal"/>
    <w:qFormat/>
    <w:rsid w:val="001a3a05"/>
    <w:pPr>
      <w:numPr>
        <w:ilvl w:val="0"/>
        <w:numId w:val="3"/>
      </w:num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Annotationtext">
    <w:name w:val="annotation text"/>
    <w:basedOn w:val="Normal"/>
    <w:link w:val="TextodecomentrioChar"/>
    <w:uiPriority w:val="99"/>
    <w:unhideWhenUsed/>
    <w:qFormat/>
    <w:rsid w:val="0015519e"/>
    <w:pPr/>
    <w:rPr>
      <w:szCs w:val="20"/>
    </w:rPr>
  </w:style>
  <w:style w:type="paragraph" w:styleId="Annotationsubject">
    <w:name w:val="annotation subject"/>
    <w:basedOn w:val="Annotationtext"/>
    <w:next w:val="Annotationtext"/>
    <w:link w:val="AssuntodocomentrioChar"/>
    <w:semiHidden/>
    <w:unhideWhenUsed/>
    <w:qFormat/>
    <w:rsid w:val="0015519e"/>
    <w:pPr/>
    <w:rPr>
      <w:b/>
      <w:bCs/>
    </w:rPr>
  </w:style>
  <w:style w:type="paragraph" w:styleId="CabealhoeRodap">
    <w:name w:val="Cabeçalho e Rodapé"/>
    <w:basedOn w:val="Normal"/>
    <w:qFormat/>
    <w:pPr/>
    <w:rPr/>
  </w:style>
  <w:style w:type="paragraph" w:styleId="Cabealho">
    <w:name w:val="Header"/>
    <w:basedOn w:val="Normal"/>
    <w:link w:val="CabealhoChar"/>
    <w:unhideWhenUsed/>
    <w:rsid w:val="00db64ef"/>
    <w:pPr>
      <w:tabs>
        <w:tab w:val="clear" w:pos="708"/>
        <w:tab w:val="center" w:pos="4252" w:leader="none"/>
        <w:tab w:val="right" w:pos="8504" w:leader="none"/>
      </w:tabs>
    </w:pPr>
    <w:rPr/>
  </w:style>
  <w:style w:type="paragraph" w:styleId="Rodap">
    <w:name w:val="Footer"/>
    <w:basedOn w:val="Normal"/>
    <w:link w:val="RodapChar"/>
    <w:uiPriority w:val="99"/>
    <w:unhideWhenUsed/>
    <w:rsid w:val="00db64ef"/>
    <w:pPr>
      <w:tabs>
        <w:tab w:val="clear" w:pos="708"/>
        <w:tab w:val="center" w:pos="4252" w:leader="none"/>
        <w:tab w:val="right" w:pos="8504" w:leader="none"/>
      </w:tabs>
    </w:pPr>
    <w:rPr/>
  </w:style>
  <w:style w:type="paragraph" w:styleId="Nivel1" w:customStyle="1">
    <w:name w:val="Nivel1"/>
    <w:basedOn w:val="Ttulo1"/>
    <w:link w:val="Nivel1Char"/>
    <w:qFormat/>
    <w:rsid w:val="000d390a"/>
    <w:pPr>
      <w:spacing w:lineRule="auto" w:line="276" w:before="480" w:after="0"/>
      <w:jc w:val="both"/>
    </w:pPr>
    <w:rPr>
      <w:rFonts w:ascii="Arial" w:hAnsi="Arial" w:cs="Times New Roman"/>
      <w:b/>
      <w:color w:val="000000"/>
      <w:sz w:val="20"/>
      <w:szCs w:val="20"/>
    </w:rPr>
  </w:style>
  <w:style w:type="paragraph" w:styleId="Revision">
    <w:name w:val="Revision"/>
    <w:uiPriority w:val="99"/>
    <w:semiHidden/>
    <w:qFormat/>
    <w:rsid w:val="00656f07"/>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PargrafodaLista1" w:customStyle="1">
    <w:name w:val="Parágrafo da Lista1"/>
    <w:basedOn w:val="Normal"/>
    <w:qFormat/>
    <w:rsid w:val="00b222ee"/>
    <w:pPr>
      <w:ind w:left="720" w:hanging="0"/>
    </w:pPr>
    <w:rPr>
      <w:rFonts w:ascii="Ecofont_Spranq_eco_Sans" w:hAnsi="Ecofont_Spranq_eco_Sans" w:cs="Ecofont_Spranq_eco_Sans"/>
      <w:sz w:val="24"/>
    </w:rPr>
  </w:style>
  <w:style w:type="paragraph" w:styleId="Citao1" w:customStyle="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cs="Ecofont_Spranq_eco_Sans"/>
      <w:i/>
      <w:iCs/>
      <w:color w:val="000000"/>
      <w:sz w:val="24"/>
      <w:shd w:fill="FFFFCC" w:val="clear"/>
      <w:lang w:eastAsia="en-US"/>
    </w:rPr>
  </w:style>
  <w:style w:type="paragraph" w:styleId="SombreamentoMdio1nfase31" w:customStyle="1">
    <w:name w:val="Sombreamento Médio 1 - Ênfase 31"/>
    <w:basedOn w:val="Normal"/>
    <w:next w:val="Normal"/>
    <w:qFormat/>
    <w:rsid w:val="00e014b9"/>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ascii="Ecofont_Spranq_eco_Sans" w:hAnsi="Ecofont_Spranq_eco_Sans" w:eastAsia="Calibri"/>
      <w:i/>
      <w:iCs/>
      <w:color w:val="000000"/>
      <w:lang w:eastAsia="zh-CN"/>
    </w:rPr>
  </w:style>
  <w:style w:type="paragraph" w:styleId="Nivel01" w:customStyle="1">
    <w:name w:val="Nivel 01"/>
    <w:basedOn w:val="Ttulo1"/>
    <w:next w:val="Normal"/>
    <w:link w:val="Nivel01Char"/>
    <w:qFormat/>
    <w:rsid w:val="0085196b"/>
    <w:pPr>
      <w:spacing w:lineRule="auto" w:line="276" w:before="480" w:after="120"/>
      <w:ind w:left="360" w:right="-15" w:hanging="360"/>
      <w:jc w:val="both"/>
    </w:pPr>
    <w:rPr>
      <w:rFonts w:ascii="Arial" w:hAnsi="Arial"/>
      <w:b/>
      <w:bCs/>
      <w:color w:val="000000"/>
    </w:rPr>
  </w:style>
  <w:style w:type="paragraph" w:styleId="Textojustificado" w:customStyle="1">
    <w:name w:val="texto_justificado"/>
    <w:basedOn w:val="Normal"/>
    <w:qFormat/>
    <w:rsid w:val="0085196b"/>
    <w:pPr>
      <w:spacing w:beforeAutospacing="1" w:afterAutospacing="1"/>
    </w:pPr>
    <w:rPr>
      <w:rFonts w:ascii="Times New Roman" w:hAnsi="Times New Roman" w:cs="Times New Roman"/>
      <w:sz w:val="24"/>
    </w:rPr>
  </w:style>
  <w:style w:type="paragraph" w:styleId="Nivel011" w:customStyle="1">
    <w:name w:val="Nivel_01"/>
    <w:basedOn w:val="Ttulo1"/>
    <w:qFormat/>
    <w:rsid w:val="00b75c3f"/>
    <w:pPr>
      <w:tabs>
        <w:tab w:val="clear" w:pos="708"/>
        <w:tab w:val="left" w:pos="360" w:leader="none"/>
        <w:tab w:val="left" w:pos="567" w:leader="none"/>
      </w:tabs>
      <w:jc w:val="both"/>
    </w:pPr>
    <w:rPr>
      <w:rFonts w:ascii="Ecofont_Spranq_eco_Sans" w:hAnsi="Ecofont_Spranq_eco_Sans" w:cs="Times New Roman"/>
      <w:b/>
      <w:bCs/>
      <w:color w:val="auto"/>
      <w:sz w:val="20"/>
      <w:szCs w:val="20"/>
    </w:rPr>
  </w:style>
  <w:style w:type="paragraph" w:styleId="GradeColoridanfase11" w:customStyle="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cs="Ecofont_Spranq_eco_Sans"/>
      <w:i/>
      <w:iCs/>
      <w:color w:val="000000"/>
      <w:lang w:val="x-none"/>
    </w:rPr>
  </w:style>
  <w:style w:type="paragraph" w:styleId="PargrafodaLista2" w:customStyle="1">
    <w:name w:val="Parágrafo da Lista2"/>
    <w:basedOn w:val="Normal"/>
    <w:qFormat/>
    <w:rsid w:val="001c3ab6"/>
    <w:pPr>
      <w:ind w:left="720" w:hanging="0"/>
    </w:pPr>
    <w:rPr>
      <w:rFonts w:ascii="Ecofont_Spranq_eco_Sans" w:hAnsi="Ecofont_Spranq_eco_Sans"/>
      <w:sz w:val="24"/>
    </w:rPr>
  </w:style>
  <w:style w:type="paragraph" w:styleId="GradeColoridanfase110" w:customStyle="1">
    <w:name w:val="Grade Colorida - Ênfase 110"/>
    <w:basedOn w:val="Normal"/>
    <w:next w:val="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i/>
      <w:color w:val="000000"/>
      <w:sz w:val="24"/>
      <w:lang w:eastAsia="en-US"/>
    </w:rPr>
  </w:style>
  <w:style w:type="paragraph" w:styleId="Nivel2" w:customStyle="1">
    <w:name w:val="Nivel 2"/>
    <w:link w:val="Nivel2Char"/>
    <w:qFormat/>
    <w:rsid w:val="00bb7bce"/>
    <w:pPr>
      <w:widowControl/>
      <w:numPr>
        <w:ilvl w:val="0"/>
        <w:numId w:val="4"/>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bb7bce"/>
    <w:pPr>
      <w:ind w:left="644" w:hanging="0"/>
    </w:pPr>
    <w:rPr>
      <w:rFonts w:cs="Arial"/>
      <w:b/>
    </w:rPr>
  </w:style>
  <w:style w:type="paragraph" w:styleId="Nivel3" w:customStyle="1">
    <w:name w:val="Nivel 3"/>
    <w:basedOn w:val="Nivel2"/>
    <w:qFormat/>
    <w:rsid w:val="00bb7bce"/>
    <w:pPr>
      <w:ind w:left="1922" w:hanging="0"/>
    </w:pPr>
    <w:rPr>
      <w:rFonts w:cs="Arial"/>
      <w:color w:val="000000"/>
    </w:rPr>
  </w:style>
  <w:style w:type="paragraph" w:styleId="Nivel4" w:customStyle="1">
    <w:name w:val="Nivel 4"/>
    <w:basedOn w:val="Nivel3"/>
    <w:qFormat/>
    <w:rsid w:val="00bb7bce"/>
    <w:pPr>
      <w:ind w:left="2491" w:hanging="0"/>
    </w:pPr>
    <w:rPr>
      <w:color w:val="auto"/>
    </w:rPr>
  </w:style>
  <w:style w:type="paragraph" w:styleId="Nivel5" w:customStyle="1">
    <w:name w:val="Nivel 5"/>
    <w:basedOn w:val="Nivel4"/>
    <w:qFormat/>
    <w:rsid w:val="00bb7bce"/>
    <w:pPr>
      <w:ind w:left="3485" w:hanging="0"/>
    </w:pPr>
    <w:rPr/>
  </w:style>
  <w:style w:type="paragraph" w:styleId="Default" w:customStyle="1">
    <w:name w:val="Default"/>
    <w:qFormat/>
    <w:rsid w:val="00a2225b"/>
    <w:pPr>
      <w:widowControl/>
      <w:suppressAutoHyphens w:val="true"/>
      <w:bidi w:val="0"/>
      <w:spacing w:before="0" w:after="0"/>
      <w:jc w:val="left"/>
    </w:pPr>
    <w:rPr>
      <w:rFonts w:ascii="Arial" w:hAnsi="Arial" w:eastAsia="Times New Roman" w:cs="Arial"/>
      <w:color w:val="000000"/>
      <w:kern w:val="0"/>
      <w:sz w:val="24"/>
      <w:szCs w:val="24"/>
      <w:lang w:val="pt-BR" w:eastAsia="pt-BR" w:bidi="ar-SA"/>
    </w:rPr>
  </w:style>
  <w:style w:type="paragraph" w:styleId="Xmsonormal" w:customStyle="1">
    <w:name w:val="x_msonormal"/>
    <w:basedOn w:val="Normal"/>
    <w:qFormat/>
    <w:rsid w:val="007e186b"/>
    <w:pPr>
      <w:spacing w:beforeAutospacing="1" w:afterAutospacing="1"/>
    </w:pPr>
    <w:rPr>
      <w:rFonts w:ascii="Times New Roman" w:hAnsi="Times New Roman" w:cs="Times New Roman"/>
      <w:sz w:val="24"/>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85196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95B6A0C5-2230-4911-B334-8B1FF6D7A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52c93ea8-e2de-466c-b401-d7fabeb9490e"/>
    <ds:schemaRef ds:uri="http://purl.org/dc/elements/1.1/"/>
  </ds:schemaRefs>
</ds:datastoreItem>
</file>

<file path=customXml/itemProps4.xml><?xml version="1.0" encoding="utf-8"?>
<ds:datastoreItem xmlns:ds="http://schemas.openxmlformats.org/officeDocument/2006/customXml" ds:itemID="{039CE206-A9BA-4AF0-B9A5-3AA97690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19</TotalTime>
  <Application>LibreOffice/7.1.3.2$Windows_X86_64 LibreOffice_project/47f78053abe362b9384784d31a6e56f8511eb1c1</Application>
  <AppVersion>15.0000</AppVersion>
  <Pages>16</Pages>
  <Words>6555</Words>
  <Characters>36691</Characters>
  <CharactersWithSpaces>42797</CharactersWithSpaces>
  <Paragraphs>301</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2021-10-26T16:46:00Z</dcterms:created>
  <dc:creator>Adriano</dc:creator>
  <dc:description/>
  <dc:language>pt-BR</dc:language>
  <cp:lastModifiedBy/>
  <cp:lastPrinted>2021-10-26T16:51:00Z</cp:lastPrinted>
  <dcterms:modified xsi:type="dcterms:W3CDTF">2021-11-12T11:01:58Z</dcterms:modified>
  <cp:revision>6</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