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pt-BR" w:eastAsia="x-none"/>
        </w:rPr>
      </w:pPr>
      <w:bookmarkStart w:id="0" w:name="_GoBack"/>
      <w:bookmarkEnd w:id="0"/>
      <w:r>
        <w:rPr>
          <w:b/>
          <w:bCs/>
          <w:lang w:val="pt-BR" w:eastAsia="x-none"/>
        </w:rPr>
        <w:t>ANEXO XIII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</w:t>
      </w:r>
      <w:r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/2022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ATHIS –</w:t>
      </w:r>
    </w:p>
    <w:p>
      <w:pPr>
        <w:pStyle w:val="Normal"/>
        <w:spacing w:before="120" w:after="0"/>
        <w:jc w:val="center"/>
        <w:rPr>
          <w:b/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bottomFromText="0" w:horzAnchor="margin" w:leftFromText="141" w:rightFromText="141" w:tblpX="0" w:tblpY="174" w:topFromText="0" w:vertAnchor="text"/>
        <w:tblW w:w="960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1"/>
        <w:gridCol w:w="4342"/>
        <w:gridCol w:w="1979"/>
      </w:tblGrid>
      <w:tr>
        <w:trPr>
          <w:trHeight w:val="50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03/10/2022</w:t>
            </w:r>
          </w:p>
        </w:tc>
      </w:tr>
      <w:tr>
        <w:trPr>
          <w:trHeight w:val="1153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Recebimento dos projetos através da entrega do Formulário de Apresentação de Projeto (Anexo III):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</w:t>
            </w:r>
            <w:r>
              <w:rPr>
                <w:sz w:val="22"/>
                <w:szCs w:val="22"/>
                <w:lang w:val="pt-BR" w:eastAsia="en-US"/>
              </w:rPr>
              <w:t>6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82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</w:t>
            </w:r>
            <w:r>
              <w:rPr>
                <w:sz w:val="22"/>
                <w:szCs w:val="22"/>
                <w:lang w:val="pt-BR"/>
              </w:rPr>
              <w:t>7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 w:eastAsia="en-US"/>
              </w:rPr>
              <w:t>0</w:t>
            </w:r>
            <w:r>
              <w:rPr>
                <w:sz w:val="22"/>
                <w:szCs w:val="22"/>
                <w:lang w:val="pt-BR" w:eastAsia="en-US"/>
              </w:rPr>
              <w:t>7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de recurso do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  <w:r>
              <w:rPr>
                <w:sz w:val="22"/>
                <w:szCs w:val="22"/>
                <w:lang w:val="pt-BR"/>
              </w:rPr>
              <w:t>4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1450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856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apresentação do Plano de Trabalho e Documentos de Habilitação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2/</w:t>
            </w:r>
            <w:r>
              <w:rPr>
                <w:sz w:val="22"/>
                <w:szCs w:val="22"/>
                <w:lang w:val="pt-BR"/>
              </w:rPr>
              <w:t>11/2022</w:t>
            </w:r>
          </w:p>
        </w:tc>
      </w:tr>
      <w:tr>
        <w:trPr>
          <w:trHeight w:val="868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3</w:t>
            </w:r>
            <w:r>
              <w:rPr>
                <w:sz w:val="22"/>
                <w:szCs w:val="22"/>
                <w:lang w:val="pt-BR"/>
              </w:rPr>
              <w:t>/11/2022</w:t>
            </w:r>
          </w:p>
        </w:tc>
      </w:tr>
      <w:tr>
        <w:trPr>
          <w:trHeight w:val="1165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</w:t>
            </w:r>
            <w:r>
              <w:rPr>
                <w:sz w:val="22"/>
                <w:szCs w:val="22"/>
                <w:lang w:val="pt-BR"/>
              </w:rPr>
              <w:t>8</w:t>
            </w:r>
            <w:r>
              <w:rPr>
                <w:sz w:val="22"/>
                <w:szCs w:val="22"/>
                <w:lang w:val="pt-BR"/>
              </w:rPr>
              <w:t>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Jurídico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09/12/2022</w:t>
            </w:r>
          </w:p>
        </w:tc>
      </w:tr>
      <w:tr>
        <w:trPr>
          <w:trHeight w:val="571" w:hRule="atLeast"/>
        </w:trPr>
        <w:tc>
          <w:tcPr>
            <w:tcW w:w="3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pela Plenária do CAU/PR e notificação final da OSC</w:t>
            </w:r>
          </w:p>
        </w:tc>
        <w:tc>
          <w:tcPr>
            <w:tcW w:w="4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13/12/2022</w:t>
            </w:r>
          </w:p>
        </w:tc>
      </w:tr>
      <w:tr>
        <w:trPr>
          <w:trHeight w:val="1454" w:hRule="atLeast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</w:t>
            </w:r>
            <w:r>
              <w:rPr>
                <w:sz w:val="22"/>
                <w:szCs w:val="22"/>
                <w:lang w:val="pt-BR"/>
              </w:rPr>
              <w:t xml:space="preserve">té </w:t>
            </w:r>
            <w:r>
              <w:rPr>
                <w:sz w:val="22"/>
                <w:szCs w:val="22"/>
                <w:lang w:val="pt-BR"/>
              </w:rPr>
              <w:t>2</w:t>
            </w:r>
            <w:r>
              <w:rPr>
                <w:sz w:val="22"/>
                <w:szCs w:val="22"/>
                <w:lang w:val="pt-BR"/>
              </w:rPr>
              <w:t>3/12/202</w:t>
            </w:r>
            <w:bookmarkStart w:id="1" w:name="_GoBack1"/>
            <w:bookmarkEnd w:id="1"/>
            <w:r>
              <w:rPr>
                <w:sz w:val="22"/>
                <w:szCs w:val="22"/>
                <w:lang w:val="pt-BR"/>
              </w:rPr>
              <w:t>2</w:t>
            </w:r>
          </w:p>
        </w:tc>
      </w:tr>
    </w:tbl>
    <w:p>
      <w:pPr>
        <w:pStyle w:val="Normal"/>
        <w:rPr>
          <w:lang w:val="pt-B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20" w:top="1701" w:footer="267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</w:tabs>
      <w:ind w:left="-709" w:right="-150" w:hanging="0"/>
      <w:jc w:val="center"/>
      <w:rPr>
        <w:rFonts w:ascii="Arial" w:hAnsi="Arial" w:cs="Arial"/>
        <w:b/>
        <w:b/>
        <w:color w:val="006666"/>
        <w:sz w:val="18"/>
        <w:szCs w:val="18"/>
        <w:lang w:val="pt-BR"/>
      </w:rPr>
    </w:pPr>
    <w:r>
      <w:rPr>
        <w:rFonts w:cs="Arial" w:ascii="Arial" w:hAnsi="Arial"/>
        <w:b/>
        <w:color w:val="006666"/>
        <w:sz w:val="18"/>
        <w:szCs w:val="18"/>
        <w:lang w:val="pt-BR"/>
      </w:rPr>
      <w:t>Conselho de Arquitetura e Urbanismo do Paraná.</w:t>
    </w:r>
  </w:p>
  <w:p>
    <w:pPr>
      <w:pStyle w:val="Rodap"/>
      <w:ind w:left="-709" w:right="-150" w:hanging="0"/>
      <w:jc w:val="center"/>
      <w:rPr>
        <w:rFonts w:ascii="Arial" w:hAnsi="Arial" w:cs="Arial"/>
        <w:b/>
        <w:b/>
        <w:color w:val="808080"/>
        <w:sz w:val="18"/>
        <w:szCs w:val="18"/>
        <w:lang w:val="pt-BR"/>
      </w:rPr>
    </w:pPr>
    <w:r>
      <w:rPr>
        <w:rFonts w:cs="Arial" w:ascii="Arial" w:hAnsi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>
    <w:pPr>
      <w:pStyle w:val="Rodap"/>
      <w:ind w:left="-709" w:right="-150" w:hanging="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cs="Arial" w:ascii="Arial" w:hAnsi="Arial"/>
        <w:color w:val="808080"/>
        <w:sz w:val="14"/>
        <w:szCs w:val="14"/>
        <w:lang w:val="pt-BR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  <w:p>
    <w:pPr>
      <w:pStyle w:val="Rodap"/>
      <w:jc w:val="center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Calibri" w:hAnsi="Calibri" w:cs="Calibri"/>
        <w:sz w:val="20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PAGE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  <w:r>
      <w:rPr>
        <w:rFonts w:cs="Calibri" w:ascii="Calibri" w:hAnsi="Calibri"/>
        <w:sz w:val="20"/>
      </w:rPr>
      <w:t xml:space="preserve"> </w:t>
    </w:r>
    <w:r>
      <w:rPr>
        <w:rFonts w:cs="Calibri" w:ascii="Calibri" w:hAnsi="Calibri"/>
        <w:sz w:val="20"/>
      </w:rPr>
      <w:t xml:space="preserve">de </w:t>
    </w:r>
    <w:r>
      <w:rPr>
        <w:rFonts w:cs="Calibri" w:ascii="Calibri" w:hAnsi="Calibri"/>
        <w:b/>
        <w:bCs/>
        <w:sz w:val="20"/>
      </w:rPr>
      <w:fldChar w:fldCharType="begin"/>
    </w:r>
    <w:r>
      <w:rPr>
        <w:sz w:val="20"/>
        <w:b/>
        <w:bCs/>
        <w:rFonts w:cs="Calibri" w:ascii="Calibri" w:hAnsi="Calibri"/>
      </w:rPr>
      <w:instrText> NUMPAGES </w:instrText>
    </w:r>
    <w:r>
      <w:rPr>
        <w:sz w:val="20"/>
        <w:b/>
        <w:bCs/>
        <w:rFonts w:cs="Calibri" w:ascii="Calibri" w:hAnsi="Calibri"/>
      </w:rPr>
      <w:fldChar w:fldCharType="separate"/>
    </w:r>
    <w:r>
      <w:rPr>
        <w:sz w:val="20"/>
        <w:b/>
        <w:bCs/>
        <w:rFonts w:cs="Calibri" w:ascii="Calibri" w:hAnsi="Calibri"/>
      </w:rPr>
      <w:t>1</w:t>
    </w:r>
    <w:r>
      <w:rPr>
        <w:sz w:val="20"/>
        <w:b/>
        <w:bCs/>
        <w:rFonts w:cs="Calibri" w:ascii="Calibri" w:hAnsi="Calibri"/>
      </w:rPr>
      <w:fldChar w:fldCharType="end"/>
    </w:r>
  </w:p>
  <w:p>
    <w:pPr>
      <w:pStyle w:val="Normal"/>
      <w:ind w:left="-709" w:right="-150" w:hanging="0"/>
      <w:rPr>
        <w:sz w:val="20"/>
        <w:lang w:val="pt-BR" w:eastAsia="pt-BR" w:bidi="x-none"/>
      </w:rPr>
    </w:pPr>
    <w:r>
      <w:rPr>
        <w:sz w:val="20"/>
        <w:lang w:val="pt-BR" w:eastAsia="pt-BR" w:bidi="x-none"/>
      </w:rPr>
    </w:r>
  </w:p>
  <w:p>
    <w:pPr>
      <w:pStyle w:val="Rodap"/>
      <w:ind w:left="-709" w:right="-150" w:hanging="0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ecuodecorpodetextoChar" w:customStyle="1">
    <w:name w:val="Recuo de corpo de texto Char"/>
    <w:link w:val="Recuodecorpodetexto"/>
    <w:qFormat/>
    <w:rsid w:val="00c94d51"/>
    <w:rPr>
      <w:sz w:val="24"/>
      <w:lang w:eastAsia="ar-SA"/>
    </w:rPr>
  </w:style>
  <w:style w:type="character" w:styleId="TextodebaloChar" w:customStyle="1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styleId="TtuloChar" w:customStyle="1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styleId="LinkdaInternet" w:customStyle="1">
    <w:name w:val="Link da Internet"/>
    <w:uiPriority w:val="99"/>
    <w:semiHidden/>
    <w:unhideWhenUsed/>
    <w:rsid w:val="002626c2"/>
    <w:rPr>
      <w:color w:val="0000FF"/>
      <w:u w:val="single"/>
    </w:rPr>
  </w:style>
  <w:style w:type="character" w:styleId="RodapChar" w:customStyle="1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styleId="CabealhoChar" w:customStyle="1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315253"/>
    <w:rPr>
      <w:rFonts w:ascii="Calibri" w:hAnsi="Calibri" w:eastAsia="Calibri" w:cs="Calibri"/>
      <w:b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1" w:customStyle="1">
    <w:name w:val="Body 1"/>
    <w:qFormat/>
    <w:pPr>
      <w:widowControl/>
      <w:suppressAutoHyphens w:val="true"/>
      <w:bidi w:val="0"/>
      <w:spacing w:before="0" w:after="0"/>
      <w:jc w:val="left"/>
      <w:outlineLvl w:val="0"/>
    </w:pPr>
    <w:rPr>
      <w:rFonts w:ascii="Times New Roman" w:hAnsi="Times New Roman" w:eastAsia="Arial Unicode MS" w:cs="Times New Roman"/>
      <w:color w:val="000000"/>
      <w:kern w:val="0"/>
      <w:sz w:val="24"/>
      <w:szCs w:val="20"/>
      <w:u w:val="none" w:color="000000"/>
      <w:lang w:val="pt-BR" w:eastAsia="pt-BR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ListParagraph">
    <w:name w:val="List Paragraph"/>
    <w:basedOn w:val="Normal"/>
    <w:uiPriority w:val="34"/>
    <w:qFormat/>
    <w:rsid w:val="00c94d51"/>
    <w:pPr>
      <w:ind w:left="708" w:hanging="0"/>
    </w:pPr>
    <w:rPr>
      <w:sz w:val="20"/>
      <w:szCs w:val="20"/>
      <w:lang w:val="pt-BR" w:eastAsia="ar-SA"/>
    </w:rPr>
  </w:style>
  <w:style w:type="paragraph" w:styleId="Default" w:customStyle="1">
    <w:name w:val="Default"/>
    <w:qFormat/>
    <w:rsid w:val="00c94d5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9338a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61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LibreOffice/7.1.3.2$Windows_X86_64 LibreOffice_project/47f78053abe362b9384784d31a6e56f8511eb1c1</Application>
  <AppVersion>15.0000</AppVersion>
  <DocSecurity>4</DocSecurity>
  <Pages>1</Pages>
  <Words>355</Words>
  <Characters>1852</Characters>
  <CharactersWithSpaces>2167</CharactersWithSpaces>
  <Paragraphs>49</Paragraphs>
  <Company>dutras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2021-10-18T15:52:00Z</dcterms:created>
  <dc:creator>user</dc:creator>
  <dc:description/>
  <dc:language>pt-BR</dc:language>
  <cp:lastModifiedBy/>
  <cp:lastPrinted>2022-10-03T15:48:14Z</cp:lastPrinted>
  <dcterms:modified xsi:type="dcterms:W3CDTF">2022-11-03T16:30:33Z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