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53" w:rsidRPr="00CF58D7" w:rsidRDefault="00DA7CB8" w:rsidP="00315253">
      <w:pPr>
        <w:jc w:val="center"/>
        <w:rPr>
          <w:b/>
          <w:bCs/>
          <w:lang w:val="pt-BR" w:eastAsia="x-none"/>
        </w:rPr>
      </w:pPr>
      <w:r>
        <w:rPr>
          <w:b/>
          <w:bCs/>
          <w:lang w:val="pt-BR" w:eastAsia="x-none"/>
        </w:rPr>
        <w:t>ANEXO XIII</w:t>
      </w:r>
    </w:p>
    <w:p w:rsidR="00315253" w:rsidRPr="00CF58D7" w:rsidRDefault="00315253" w:rsidP="00315253">
      <w:pPr>
        <w:jc w:val="center"/>
        <w:rPr>
          <w:b/>
          <w:lang w:val="pt-BR"/>
        </w:rPr>
      </w:pPr>
    </w:p>
    <w:p w:rsidR="0062599C" w:rsidRDefault="0062599C" w:rsidP="0062599C">
      <w:pPr>
        <w:spacing w:before="120"/>
        <w:jc w:val="center"/>
        <w:rPr>
          <w:rFonts w:eastAsia="Calibri"/>
          <w:b/>
          <w:color w:val="000000"/>
          <w:sz w:val="22"/>
          <w:szCs w:val="22"/>
          <w:lang w:val="pt-BR" w:eastAsia="pt-BR"/>
        </w:rPr>
      </w:pPr>
      <w:r w:rsidRPr="0062599C">
        <w:rPr>
          <w:rFonts w:eastAsia="Calibri"/>
          <w:b/>
          <w:color w:val="000000"/>
          <w:sz w:val="22"/>
          <w:szCs w:val="22"/>
          <w:lang w:val="pt-BR" w:eastAsia="pt-BR"/>
        </w:rPr>
        <w:t>EDITAL DE</w:t>
      </w:r>
      <w:r w:rsidR="001623EE">
        <w:rPr>
          <w:rFonts w:eastAsia="Calibri"/>
          <w:b/>
          <w:color w:val="000000"/>
          <w:sz w:val="22"/>
          <w:szCs w:val="22"/>
          <w:lang w:val="pt-BR" w:eastAsia="pt-BR"/>
        </w:rPr>
        <w:t xml:space="preserve"> CHAMAMENTO PÚBLICO Nº 001/2021</w:t>
      </w:r>
    </w:p>
    <w:p w:rsidR="0062599C" w:rsidRDefault="0062599C" w:rsidP="0062599C">
      <w:pPr>
        <w:spacing w:before="120"/>
        <w:jc w:val="center"/>
        <w:rPr>
          <w:rFonts w:eastAsia="Calibri"/>
          <w:b/>
          <w:color w:val="000000"/>
          <w:sz w:val="22"/>
          <w:szCs w:val="22"/>
          <w:lang w:val="pt-BR" w:eastAsia="pt-BR"/>
        </w:rPr>
      </w:pPr>
      <w:r w:rsidRPr="0062599C">
        <w:rPr>
          <w:rFonts w:eastAsia="Calibri"/>
          <w:b/>
          <w:color w:val="000000"/>
          <w:sz w:val="22"/>
          <w:szCs w:val="22"/>
          <w:lang w:val="pt-BR" w:eastAsia="pt-BR"/>
        </w:rPr>
        <w:t>PATROCÍNIO CULTURAL, TÉCNICO E DE PATRIMÔNIO HISTÓRICO</w:t>
      </w:r>
    </w:p>
    <w:p w:rsidR="00315253" w:rsidRPr="00CF58D7" w:rsidRDefault="00315253" w:rsidP="0062599C">
      <w:pPr>
        <w:spacing w:before="120"/>
        <w:jc w:val="center"/>
        <w:rPr>
          <w:b/>
          <w:lang w:val="pt-BR" w:eastAsia="x-none"/>
        </w:rPr>
      </w:pPr>
      <w:r w:rsidRPr="00CF58D7">
        <w:rPr>
          <w:b/>
          <w:bCs/>
          <w:u w:val="single"/>
          <w:lang w:val="pt-BR" w:eastAsia="x-none"/>
        </w:rPr>
        <w:t>CRONOGRAMA PREVISTO</w:t>
      </w:r>
    </w:p>
    <w:tbl>
      <w:tblPr>
        <w:tblpPr w:leftFromText="141" w:rightFromText="141" w:vertAnchor="text" w:horzAnchor="margin" w:tblpY="174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339"/>
        <w:gridCol w:w="1977"/>
      </w:tblGrid>
      <w:tr w:rsidR="00315253" w:rsidRPr="00CF58D7" w:rsidTr="00097609">
        <w:trPr>
          <w:trHeight w:val="502"/>
        </w:trPr>
        <w:tc>
          <w:tcPr>
            <w:tcW w:w="3286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39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7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 w:rsidR="00315253" w:rsidRPr="00CF58D7" w:rsidTr="00097609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</w:t>
            </w:r>
            <w:r w:rsidR="00634057">
              <w:rPr>
                <w:sz w:val="22"/>
                <w:szCs w:val="22"/>
                <w:lang w:val="pt-BR"/>
              </w:rPr>
              <w:t>/10</w:t>
            </w:r>
            <w:r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1153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16/11/2021</w:t>
            </w:r>
          </w:p>
        </w:tc>
      </w:tr>
      <w:tr w:rsidR="00315253" w:rsidRPr="00CF58D7" w:rsidTr="00097609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17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17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22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1450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29</w:t>
            </w:r>
            <w:r w:rsidR="0006253C" w:rsidRPr="00634057">
              <w:rPr>
                <w:sz w:val="22"/>
                <w:szCs w:val="22"/>
                <w:lang w:val="pt-BR"/>
              </w:rPr>
              <w:t>/</w:t>
            </w:r>
            <w:r w:rsidR="00634057" w:rsidRPr="00634057">
              <w:rPr>
                <w:sz w:val="22"/>
                <w:szCs w:val="22"/>
                <w:lang w:val="pt-BR"/>
              </w:rPr>
              <w:t>11</w:t>
            </w:r>
            <w:r w:rsidR="00315253" w:rsidRPr="0063405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315253" w:rsidRPr="00CF58D7" w:rsidTr="00097609">
        <w:trPr>
          <w:trHeight w:val="856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02/12/2021</w:t>
            </w:r>
          </w:p>
        </w:tc>
      </w:tr>
      <w:tr w:rsidR="00315253" w:rsidRPr="00CF58D7" w:rsidTr="00097609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03/12/2021</w:t>
            </w:r>
          </w:p>
        </w:tc>
      </w:tr>
      <w:tr w:rsidR="00315253" w:rsidRPr="00CF58D7" w:rsidTr="00097609">
        <w:trPr>
          <w:trHeight w:val="1165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20</w:t>
            </w:r>
            <w:r w:rsidR="00E568E6" w:rsidRPr="0002095C">
              <w:rPr>
                <w:sz w:val="22"/>
                <w:szCs w:val="22"/>
                <w:lang w:val="pt-BR"/>
              </w:rPr>
              <w:t>/12</w:t>
            </w:r>
            <w:r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1623EE" w:rsidP="001623EE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21/12/2021</w:t>
            </w:r>
          </w:p>
        </w:tc>
      </w:tr>
      <w:tr w:rsidR="00315253" w:rsidRPr="00CF58D7" w:rsidTr="00097609">
        <w:trPr>
          <w:trHeight w:val="1454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02095C">
              <w:rPr>
                <w:sz w:val="22"/>
                <w:szCs w:val="22"/>
                <w:lang w:val="pt-BR"/>
              </w:rPr>
              <w:t>Aprovação na</w:t>
            </w:r>
            <w:r w:rsidR="001623EE">
              <w:rPr>
                <w:sz w:val="22"/>
                <w:szCs w:val="22"/>
                <w:lang w:val="pt-BR"/>
              </w:rPr>
              <w:t xml:space="preserve"> Plenária até 31/12/2021</w:t>
            </w:r>
            <w:bookmarkStart w:id="0" w:name="_GoBack"/>
            <w:bookmarkEnd w:id="0"/>
          </w:p>
        </w:tc>
      </w:tr>
    </w:tbl>
    <w:p w:rsidR="00315253" w:rsidRPr="00CF58D7" w:rsidRDefault="00315253" w:rsidP="00315253">
      <w:pPr>
        <w:rPr>
          <w:lang w:val="pt-BR"/>
        </w:rPr>
      </w:pPr>
    </w:p>
    <w:p w:rsidR="00AA4E17" w:rsidRPr="00CF58D7" w:rsidRDefault="00AA4E17" w:rsidP="00315253">
      <w:pPr>
        <w:rPr>
          <w:lang w:val="pt-BR"/>
        </w:rPr>
      </w:pPr>
    </w:p>
    <w:sectPr w:rsidR="00AA4E17" w:rsidRPr="00CF58D7" w:rsidSect="00315253">
      <w:headerReference w:type="default" r:id="rId7"/>
      <w:footerReference w:type="even" r:id="rId8"/>
      <w:footerReference w:type="default" r:id="rId9"/>
      <w:pgSz w:w="11900" w:h="16840"/>
      <w:pgMar w:top="1701" w:right="1418" w:bottom="1418" w:left="1134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B" w:rsidRDefault="002F710B">
      <w:r>
        <w:separator/>
      </w:r>
    </w:p>
  </w:endnote>
  <w:endnote w:type="continuationSeparator" w:id="0">
    <w:p w:rsidR="002F710B" w:rsidRDefault="002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Default="000E2A0B" w:rsidP="000E2A0B">
    <w:pPr>
      <w:pStyle w:val="Rodap"/>
      <w:ind w:left="-709" w:right="-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7DB8" w:rsidRDefault="000E2A0B" w:rsidP="000E2A0B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 w:rsidRPr="00987DB8"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 w:rsidRPr="00987DB8">
      <w:rPr>
        <w:rFonts w:ascii="Arial" w:hAnsi="Arial" w:cs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 w:rsidRPr="00987DB8">
      <w:rPr>
        <w:rFonts w:ascii="Arial" w:hAnsi="Arial" w:cs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36E13" w:rsidRPr="00987DB8" w:rsidRDefault="00A36E13" w:rsidP="000E2A0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B" w:rsidRDefault="002F710B">
      <w:r>
        <w:separator/>
      </w:r>
    </w:p>
  </w:footnote>
  <w:footnote w:type="continuationSeparator" w:id="0">
    <w:p w:rsidR="002F710B" w:rsidRDefault="002F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1F55" w:rsidRDefault="00315253" w:rsidP="000E2A0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PAGE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1623EE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  <w:r w:rsidR="000E2A0B" w:rsidRPr="00981F55">
      <w:rPr>
        <w:rFonts w:ascii="Calibri" w:hAnsi="Calibri" w:cs="Calibri"/>
        <w:sz w:val="20"/>
      </w:rPr>
      <w:t xml:space="preserve"> de </w:t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NUMPAGES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1623EE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</w:p>
  <w:p w:rsidR="00A36E13" w:rsidRDefault="00A36E13" w:rsidP="000E2A0B">
    <w:pPr>
      <w:ind w:left="-709" w:right="-150"/>
      <w:rPr>
        <w:sz w:val="20"/>
        <w:lang w:val="pt-BR" w:eastAsia="pt-BR" w:bidi="x-none"/>
      </w:rPr>
    </w:pPr>
  </w:p>
  <w:p w:rsidR="000E2A0B" w:rsidRDefault="00A36E13" w:rsidP="000E2A0B">
    <w:pPr>
      <w:pStyle w:val="Rodap"/>
      <w:ind w:left="-709" w:right="-150"/>
    </w:pP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2E2"/>
    <w:multiLevelType w:val="multilevel"/>
    <w:tmpl w:val="FCD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256A"/>
    <w:multiLevelType w:val="hybridMultilevel"/>
    <w:tmpl w:val="03BA6CB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EA78DA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D7BF5"/>
    <w:multiLevelType w:val="multilevel"/>
    <w:tmpl w:val="72E6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712728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7115FC"/>
    <w:multiLevelType w:val="hybridMultilevel"/>
    <w:tmpl w:val="5248EC94"/>
    <w:lvl w:ilvl="0" w:tplc="C524A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68B"/>
    <w:multiLevelType w:val="hybridMultilevel"/>
    <w:tmpl w:val="6086547C"/>
    <w:lvl w:ilvl="0" w:tplc="98E65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2F5E"/>
    <w:multiLevelType w:val="hybridMultilevel"/>
    <w:tmpl w:val="A7BC57B4"/>
    <w:lvl w:ilvl="0" w:tplc="DB18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5265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614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1"/>
    <w:rsid w:val="0002095C"/>
    <w:rsid w:val="00025C68"/>
    <w:rsid w:val="0006253C"/>
    <w:rsid w:val="000645E5"/>
    <w:rsid w:val="00084658"/>
    <w:rsid w:val="000E2A0B"/>
    <w:rsid w:val="000F71B8"/>
    <w:rsid w:val="00104D16"/>
    <w:rsid w:val="00112244"/>
    <w:rsid w:val="001623EE"/>
    <w:rsid w:val="00176101"/>
    <w:rsid w:val="001A4CC8"/>
    <w:rsid w:val="0020108E"/>
    <w:rsid w:val="00212543"/>
    <w:rsid w:val="00222817"/>
    <w:rsid w:val="00245429"/>
    <w:rsid w:val="00260E2C"/>
    <w:rsid w:val="002626C2"/>
    <w:rsid w:val="00264D44"/>
    <w:rsid w:val="00286408"/>
    <w:rsid w:val="002E6514"/>
    <w:rsid w:val="002F710B"/>
    <w:rsid w:val="00301CD7"/>
    <w:rsid w:val="00315253"/>
    <w:rsid w:val="00321C8F"/>
    <w:rsid w:val="003C07E9"/>
    <w:rsid w:val="003D2EE4"/>
    <w:rsid w:val="003E3A0A"/>
    <w:rsid w:val="003E7465"/>
    <w:rsid w:val="0041050E"/>
    <w:rsid w:val="004201E4"/>
    <w:rsid w:val="0047693D"/>
    <w:rsid w:val="004A4149"/>
    <w:rsid w:val="004B030C"/>
    <w:rsid w:val="004E01AA"/>
    <w:rsid w:val="004E0808"/>
    <w:rsid w:val="00510A52"/>
    <w:rsid w:val="005237C3"/>
    <w:rsid w:val="0052402A"/>
    <w:rsid w:val="00526022"/>
    <w:rsid w:val="005C79D2"/>
    <w:rsid w:val="005D1909"/>
    <w:rsid w:val="005E250C"/>
    <w:rsid w:val="0062599C"/>
    <w:rsid w:val="00634057"/>
    <w:rsid w:val="006351BC"/>
    <w:rsid w:val="00635D73"/>
    <w:rsid w:val="00660E4E"/>
    <w:rsid w:val="006E60C7"/>
    <w:rsid w:val="00735320"/>
    <w:rsid w:val="00774C1A"/>
    <w:rsid w:val="007B4158"/>
    <w:rsid w:val="007D7AA4"/>
    <w:rsid w:val="008363DD"/>
    <w:rsid w:val="008576A7"/>
    <w:rsid w:val="00886008"/>
    <w:rsid w:val="008C1948"/>
    <w:rsid w:val="008C5C93"/>
    <w:rsid w:val="008C6594"/>
    <w:rsid w:val="00947CE7"/>
    <w:rsid w:val="00962708"/>
    <w:rsid w:val="0098461E"/>
    <w:rsid w:val="00987DB8"/>
    <w:rsid w:val="009E3513"/>
    <w:rsid w:val="009F76BB"/>
    <w:rsid w:val="00A041B1"/>
    <w:rsid w:val="00A0488E"/>
    <w:rsid w:val="00A15317"/>
    <w:rsid w:val="00A36E13"/>
    <w:rsid w:val="00A40956"/>
    <w:rsid w:val="00A61585"/>
    <w:rsid w:val="00A74363"/>
    <w:rsid w:val="00A74C0F"/>
    <w:rsid w:val="00A9338A"/>
    <w:rsid w:val="00A95ED9"/>
    <w:rsid w:val="00AA4E17"/>
    <w:rsid w:val="00AB0142"/>
    <w:rsid w:val="00AB3EEC"/>
    <w:rsid w:val="00AC504A"/>
    <w:rsid w:val="00AD002F"/>
    <w:rsid w:val="00AD4E3F"/>
    <w:rsid w:val="00B042FE"/>
    <w:rsid w:val="00B04FF1"/>
    <w:rsid w:val="00B2786E"/>
    <w:rsid w:val="00B57260"/>
    <w:rsid w:val="00B9748A"/>
    <w:rsid w:val="00B97EAD"/>
    <w:rsid w:val="00BA0DE7"/>
    <w:rsid w:val="00BB7DA2"/>
    <w:rsid w:val="00BD55BA"/>
    <w:rsid w:val="00C64AA4"/>
    <w:rsid w:val="00C66BE5"/>
    <w:rsid w:val="00C94D51"/>
    <w:rsid w:val="00CE5829"/>
    <w:rsid w:val="00CF58D7"/>
    <w:rsid w:val="00D45CC1"/>
    <w:rsid w:val="00D802A3"/>
    <w:rsid w:val="00DA7CB8"/>
    <w:rsid w:val="00DC5BF8"/>
    <w:rsid w:val="00DC6EE4"/>
    <w:rsid w:val="00DF0DDB"/>
    <w:rsid w:val="00E31DE2"/>
    <w:rsid w:val="00E34F2A"/>
    <w:rsid w:val="00E413E3"/>
    <w:rsid w:val="00E568E6"/>
    <w:rsid w:val="00E675FA"/>
    <w:rsid w:val="00E77B41"/>
    <w:rsid w:val="00E92EB7"/>
    <w:rsid w:val="00EE7160"/>
    <w:rsid w:val="00F421EB"/>
    <w:rsid w:val="00F539A8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 endcap="round"/>
    </o:shapedefaults>
    <o:shapelayout v:ext="edit">
      <o:idmap v:ext="edit" data="1"/>
    </o:shapelayout>
  </w:shapeDefaults>
  <w:decimalSymbol w:val=","/>
  <w:listSeparator w:val=";"/>
  <w15:chartTrackingRefBased/>
  <w15:docId w15:val="{F867E62B-8275-4EB7-93D2-CD4D8EB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76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94D51"/>
    <w:pPr>
      <w:suppressAutoHyphens/>
      <w:ind w:firstLine="1440"/>
      <w:jc w:val="both"/>
    </w:pPr>
    <w:rPr>
      <w:szCs w:val="20"/>
      <w:lang w:val="pt-BR" w:eastAsia="ar-SA"/>
    </w:rPr>
  </w:style>
  <w:style w:type="character" w:customStyle="1" w:styleId="RecuodecorpodetextoChar">
    <w:name w:val="Recuo de corpo de texto Char"/>
    <w:link w:val="Recuodecorpodetexto"/>
    <w:rsid w:val="00C94D51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94D51"/>
    <w:pPr>
      <w:suppressAutoHyphens/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rsid w:val="00C94D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3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33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B3EEC"/>
    <w:pPr>
      <w:spacing w:before="100" w:beforeAutospacing="1" w:after="100" w:afterAutospacing="1"/>
    </w:pPr>
    <w:rPr>
      <w:lang w:val="pt-BR" w:eastAsia="pt-BR"/>
    </w:rPr>
  </w:style>
  <w:style w:type="paragraph" w:styleId="Ttul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315253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dutras</Company>
  <LinksUpToDate>false</LinksUpToDate>
  <CharactersWithSpaces>1733</CharactersWithSpaces>
  <SharedDoc>false</SharedDoc>
  <HLinks>
    <vt:vector size="18" baseType="variant"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http://www.planalto.gov.br/ccivil_03/_Ato2015-2018/2015/Lei/L13204.htm</vt:lpwstr>
      </vt:variant>
      <vt:variant>
        <vt:lpwstr>art9</vt:lpwstr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>art12i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http://www.planalto.gov.br/ccivil_03/_Ato2011-2014/2014/Lei/L13019.htm</vt:lpwstr>
      </vt:variant>
      <vt:variant>
        <vt:lpwstr>art39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2016-07-18T17:35:00Z</cp:lastPrinted>
  <dcterms:created xsi:type="dcterms:W3CDTF">2021-10-08T14:12:00Z</dcterms:created>
  <dcterms:modified xsi:type="dcterms:W3CDTF">2021-10-08T14:12:00Z</dcterms:modified>
</cp:coreProperties>
</file>