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22" w:rsidRDefault="00EE581E">
      <w:pPr>
        <w:jc w:val="center"/>
        <w:rPr>
          <w:b/>
          <w:bCs/>
        </w:rPr>
      </w:pPr>
      <w:r>
        <w:rPr>
          <w:b/>
          <w:bCs/>
        </w:rPr>
        <w:t>RESPOSTA DE PEDIDOS DE ESCLARECIMENTOS</w:t>
      </w:r>
    </w:p>
    <w:p w:rsidR="008A1322" w:rsidRDefault="008A1322"/>
    <w:p w:rsidR="008A1322" w:rsidRDefault="00EE581E">
      <w:r>
        <w:t>PREGÃO Nº 00</w:t>
      </w:r>
      <w:r w:rsidR="00A6065D">
        <w:t>6</w:t>
      </w:r>
      <w:r>
        <w:t>/2022</w:t>
      </w:r>
    </w:p>
    <w:p w:rsidR="008A1322" w:rsidRDefault="00EE581E">
      <w:r>
        <w:t xml:space="preserve">PROCESSO ADMINISTRATIVO N° </w:t>
      </w:r>
      <w:r w:rsidR="00A6065D">
        <w:t>2022/ADM/03.00031-00</w:t>
      </w:r>
    </w:p>
    <w:p w:rsidR="00A6065D" w:rsidRDefault="00A6065D">
      <w:r>
        <w:t>RESPOSTA Nº 001</w:t>
      </w:r>
    </w:p>
    <w:p w:rsidR="008A1322" w:rsidRDefault="008A1322"/>
    <w:p w:rsidR="00A6065D" w:rsidRDefault="00EE581E" w:rsidP="00A6065D">
      <w:r w:rsidRPr="0009261E">
        <w:rPr>
          <w:b/>
        </w:rPr>
        <w:t>Objeto</w:t>
      </w:r>
      <w:r>
        <w:t xml:space="preserve"> – escolha da proposta mais vantajosa para a </w:t>
      </w:r>
      <w:r w:rsidR="00A6065D">
        <w:t xml:space="preserve">contratação </w:t>
      </w:r>
      <w:r w:rsidR="00A6065D" w:rsidRPr="00A6065D">
        <w:t xml:space="preserve">de empresa especializada, na forma direta e contínua, na prestação de Serviços de Seguros de Veículos e Imóveis com cobertura de danos a terceiros, sem franquia principal e demais itens conforme descritos no Estudo Técnico Preliminar (ETP) </w:t>
      </w:r>
      <w:r w:rsidR="0009261E">
        <w:t>e</w:t>
      </w:r>
      <w:r w:rsidR="00A6065D" w:rsidRPr="00A6065D">
        <w:t xml:space="preserve"> TR, para os veículos de propriedade do CAU/PR bem como dos imóveis de propriedade ou sob responsabilidade da autarquia, incluindo o seu conteúdo (equipamentos, mobiliário e outros materiais) contra o risco eventual e imprevisto de ocorrência de sinistros (incêndio, descargas atmosféricas, explosão e adicionais).</w:t>
      </w:r>
    </w:p>
    <w:p w:rsidR="008A1322" w:rsidRDefault="008A1322"/>
    <w:p w:rsidR="008A1322" w:rsidRDefault="00EE581E">
      <w:r>
        <w:t xml:space="preserve">A empresa </w:t>
      </w:r>
      <w:r w:rsidR="0009261E">
        <w:t xml:space="preserve">GNP CONSULTORIA DE SEGUROS, </w:t>
      </w:r>
      <w:r w:rsidR="0009261E" w:rsidRPr="0009261E">
        <w:t>na qualidade de representantes credenciados pela</w:t>
      </w:r>
      <w:r w:rsidR="0009261E">
        <w:t xml:space="preserve"> </w:t>
      </w:r>
      <w:r w:rsidR="00A6065D" w:rsidRPr="009079C2">
        <w:rPr>
          <w:rFonts w:eastAsia="Times New Roman"/>
        </w:rPr>
        <w:t>MAPFRE SEGUROS GERAIS S/A</w:t>
      </w:r>
      <w:r>
        <w:t>, interessada em participar do pregão em epígrafe, apresentou pedidos de esclarecimentos em re</w:t>
      </w:r>
      <w:r w:rsidR="00A6065D">
        <w:t>lação ao Edital</w:t>
      </w:r>
      <w:r>
        <w:t xml:space="preserve">, cujo objeto consiste na contratação de empresa especializada </w:t>
      </w:r>
      <w:r w:rsidR="00A6065D" w:rsidRPr="00A6065D">
        <w:t>na prestação de Serviços de Seguros de Veículos e Imóveis com cobertura de danos a terceiros</w:t>
      </w:r>
      <w:r>
        <w:t>.</w:t>
      </w:r>
    </w:p>
    <w:p w:rsidR="008A1322" w:rsidRDefault="008A1322"/>
    <w:p w:rsidR="008A1322" w:rsidRDefault="00EE581E">
      <w:r>
        <w:t xml:space="preserve">Os pedidos de esclarecimentos foram apresentados </w:t>
      </w:r>
      <w:r w:rsidR="0009261E">
        <w:t xml:space="preserve">por </w:t>
      </w:r>
      <w:r>
        <w:t xml:space="preserve">meio de envio ao endereço eletrônico </w:t>
      </w:r>
      <w:r w:rsidR="007A5EBB">
        <w:t xml:space="preserve">(e-mail) </w:t>
      </w:r>
      <w:hyperlink r:id="rId6" w:history="1">
        <w:r w:rsidR="007A5EBB" w:rsidRPr="002C6008">
          <w:rPr>
            <w:rStyle w:val="Hyperlink"/>
          </w:rPr>
          <w:t>licitacao@caupr.gov.br</w:t>
        </w:r>
      </w:hyperlink>
      <w:r w:rsidR="007A5EBB">
        <w:t>, conforme segue:</w:t>
      </w:r>
    </w:p>
    <w:p w:rsidR="007A5EBB" w:rsidRDefault="007A5EBB"/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 xml:space="preserve">“Prezado </w:t>
      </w:r>
      <w:proofErr w:type="gramStart"/>
      <w:r w:rsidRPr="007A5EBB">
        <w:rPr>
          <w:i/>
          <w:sz w:val="20"/>
          <w:szCs w:val="20"/>
        </w:rPr>
        <w:t>Pregoeiro(</w:t>
      </w:r>
      <w:proofErr w:type="gramEnd"/>
      <w:r w:rsidRPr="007A5EBB">
        <w:rPr>
          <w:i/>
          <w:sz w:val="20"/>
          <w:szCs w:val="20"/>
        </w:rPr>
        <w:t>a) bom dia , na qualidade de representantes credenciados pela MAPFRE SEGUROS GERAIS S/A solicitamos a gentileza de esclarecerem as dúvidas relacionadas abaixo: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 xml:space="preserve">- NO ESTUDO TÉCNICO PRELIMINAR 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>- Na página 9 - Item 6 DESCRIÇÃO DA SOLUÇÃO COMO UM TODO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>**** Constam as coberturas solicitadas com seus LIMITES MÁXIMOS DE INDENIZAÇÃO para 06 locais de Riscos.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>***** Na página 9 constam os mesmos endereços, porém com LIMITES MÁXIMOS DE INDENIZAÇÃO - LMI - DANOS A IMÓVEIS DE TERCEIROS, perguntamos: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proofErr w:type="gramStart"/>
      <w:r w:rsidRPr="007A5EBB">
        <w:rPr>
          <w:i/>
          <w:sz w:val="20"/>
          <w:szCs w:val="20"/>
        </w:rPr>
        <w:t>a) Qual</w:t>
      </w:r>
      <w:proofErr w:type="gramEnd"/>
      <w:r w:rsidRPr="007A5EBB">
        <w:rPr>
          <w:i/>
          <w:sz w:val="20"/>
          <w:szCs w:val="20"/>
        </w:rPr>
        <w:t xml:space="preserve"> o objetivo de coberturas para a coluna de Indenizações Diversas?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proofErr w:type="gramStart"/>
      <w:r w:rsidRPr="007A5EBB">
        <w:rPr>
          <w:i/>
          <w:sz w:val="20"/>
          <w:szCs w:val="20"/>
        </w:rPr>
        <w:t>b) Os</w:t>
      </w:r>
      <w:proofErr w:type="gramEnd"/>
      <w:r w:rsidRPr="007A5EBB">
        <w:rPr>
          <w:i/>
          <w:sz w:val="20"/>
          <w:szCs w:val="20"/>
        </w:rPr>
        <w:t xml:space="preserve"> valores das colunas de Edificações e Conteúdo e produtos correspondem aos bens do proprietário do Imóvel?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 xml:space="preserve">c) Como tratam-se dos mesmos locais de riscos </w:t>
      </w:r>
      <w:proofErr w:type="gramStart"/>
      <w:r w:rsidRPr="007A5EBB">
        <w:rPr>
          <w:i/>
          <w:sz w:val="20"/>
          <w:szCs w:val="20"/>
        </w:rPr>
        <w:t>( Endereços</w:t>
      </w:r>
      <w:proofErr w:type="gramEnd"/>
      <w:r w:rsidRPr="007A5EBB">
        <w:rPr>
          <w:i/>
          <w:sz w:val="20"/>
          <w:szCs w:val="20"/>
        </w:rPr>
        <w:t xml:space="preserve"> ) , podemos somar as coberturas de ambos os quadros em uma única apólice ?</w:t>
      </w:r>
    </w:p>
    <w:p w:rsidR="007A5EBB" w:rsidRPr="007A5EBB" w:rsidRDefault="007A5EBB" w:rsidP="007A5EBB">
      <w:pPr>
        <w:ind w:left="1701"/>
        <w:rPr>
          <w:i/>
          <w:sz w:val="20"/>
          <w:szCs w:val="20"/>
        </w:rPr>
      </w:pPr>
      <w:r w:rsidRPr="007A5EBB">
        <w:rPr>
          <w:i/>
          <w:sz w:val="20"/>
          <w:szCs w:val="20"/>
        </w:rPr>
        <w:t xml:space="preserve">d) Ou por tratar-se de bens de terceiros deverão tais coberturas serem apresentadas em um item </w:t>
      </w:r>
      <w:proofErr w:type="gramStart"/>
      <w:r w:rsidRPr="007A5EBB">
        <w:rPr>
          <w:i/>
          <w:sz w:val="20"/>
          <w:szCs w:val="20"/>
        </w:rPr>
        <w:t>separado.”</w:t>
      </w:r>
      <w:proofErr w:type="gramEnd"/>
    </w:p>
    <w:p w:rsidR="008A1322" w:rsidRDefault="008A1322"/>
    <w:p w:rsidR="008A1322" w:rsidRDefault="0009261E">
      <w:r>
        <w:t>A</w:t>
      </w:r>
      <w:r w:rsidR="00E16760">
        <w:t>pós análise, s</w:t>
      </w:r>
      <w:r w:rsidR="00EE581E">
        <w:t xml:space="preserve">egue abaixo os pedidos de esclarecimentos apresentados pela empresa acompanhados </w:t>
      </w:r>
      <w:r w:rsidR="00E16760">
        <w:t>das</w:t>
      </w:r>
      <w:r w:rsidR="00EE581E">
        <w:t xml:space="preserve"> respectivas respostas</w:t>
      </w:r>
      <w:r w:rsidR="00E16760">
        <w:t xml:space="preserve"> do setor demandante</w:t>
      </w:r>
      <w:r w:rsidR="00EE581E">
        <w:t>:</w:t>
      </w:r>
    </w:p>
    <w:p w:rsidR="008A1322" w:rsidRDefault="008A1322"/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 w:rsidRPr="0009261E">
        <w:rPr>
          <w:rFonts w:ascii="Arial" w:hAnsi="Arial" w:cs="Arial"/>
          <w:b/>
          <w:color w:val="201F1E"/>
        </w:rPr>
        <w:t xml:space="preserve">1) </w:t>
      </w:r>
      <w:r w:rsidR="007A5EBB" w:rsidRPr="0009261E">
        <w:rPr>
          <w:rFonts w:ascii="Arial" w:hAnsi="Arial" w:cs="Arial"/>
          <w:b/>
          <w:color w:val="201F1E"/>
        </w:rPr>
        <w:t>Pergunta</w:t>
      </w:r>
      <w:r w:rsidRPr="0009261E">
        <w:rPr>
          <w:rFonts w:ascii="Arial" w:hAnsi="Arial" w:cs="Arial"/>
          <w:b/>
          <w:color w:val="201F1E"/>
        </w:rPr>
        <w:t xml:space="preserve">: </w:t>
      </w:r>
      <w:r w:rsidR="007A5EBB" w:rsidRPr="00E16760">
        <w:rPr>
          <w:rFonts w:ascii="Arial" w:hAnsi="Arial" w:cs="Arial"/>
          <w:color w:val="201F1E"/>
        </w:rPr>
        <w:t>a</w:t>
      </w:r>
      <w:proofErr w:type="gramStart"/>
      <w:r w:rsidR="007A5EBB" w:rsidRPr="00E16760">
        <w:rPr>
          <w:rFonts w:ascii="Arial" w:hAnsi="Arial" w:cs="Arial"/>
          <w:color w:val="201F1E"/>
        </w:rPr>
        <w:t>)</w:t>
      </w:r>
      <w:r w:rsidR="007A5EBB" w:rsidRPr="0009261E">
        <w:rPr>
          <w:rFonts w:ascii="Arial" w:hAnsi="Arial" w:cs="Arial"/>
          <w:b/>
          <w:color w:val="201F1E"/>
        </w:rPr>
        <w:t xml:space="preserve"> </w:t>
      </w:r>
      <w:r w:rsidR="007A5EBB" w:rsidRPr="0009261E">
        <w:rPr>
          <w:rFonts w:ascii="Arial" w:hAnsi="Arial" w:cs="Arial"/>
          <w:color w:val="201F1E"/>
        </w:rPr>
        <w:t>Qual</w:t>
      </w:r>
      <w:proofErr w:type="gramEnd"/>
      <w:r w:rsidR="007A5EBB" w:rsidRPr="0009261E">
        <w:rPr>
          <w:rFonts w:ascii="Arial" w:hAnsi="Arial" w:cs="Arial"/>
          <w:color w:val="201F1E"/>
        </w:rPr>
        <w:t xml:space="preserve"> o objetivo de coberturas para a coluna de Indenizações Diversas</w:t>
      </w:r>
      <w:r w:rsidRPr="0009261E">
        <w:rPr>
          <w:rFonts w:ascii="Arial" w:hAnsi="Arial" w:cs="Arial"/>
          <w:color w:val="201F1E"/>
        </w:rPr>
        <w:t>?</w:t>
      </w:r>
    </w:p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  <w:r w:rsidRPr="0009261E">
        <w:rPr>
          <w:rFonts w:ascii="Arial" w:hAnsi="Arial" w:cs="Arial"/>
          <w:b/>
          <w:color w:val="FF0000"/>
        </w:rPr>
        <w:t xml:space="preserve">Resposta: </w:t>
      </w:r>
      <w:r w:rsidR="0009261E">
        <w:rPr>
          <w:rFonts w:ascii="Arial" w:hAnsi="Arial" w:cs="Arial"/>
          <w:color w:val="FF0000"/>
        </w:rPr>
        <w:t>O</w:t>
      </w:r>
      <w:r w:rsidR="007A5EBB" w:rsidRPr="0009261E">
        <w:rPr>
          <w:rFonts w:ascii="Arial" w:hAnsi="Arial" w:cs="Arial"/>
          <w:color w:val="FF0000"/>
        </w:rPr>
        <w:t xml:space="preserve"> objetivo é a cobertura referente</w:t>
      </w:r>
      <w:r w:rsidR="0009261E">
        <w:rPr>
          <w:rFonts w:ascii="Arial" w:hAnsi="Arial" w:cs="Arial"/>
          <w:color w:val="FF0000"/>
        </w:rPr>
        <w:t xml:space="preserve"> a itens como:</w:t>
      </w:r>
      <w:r w:rsidR="007A5EBB" w:rsidRPr="0009261E">
        <w:rPr>
          <w:rFonts w:ascii="Arial" w:hAnsi="Arial" w:cs="Arial"/>
          <w:color w:val="FF0000"/>
        </w:rPr>
        <w:t xml:space="preserve"> pagamento de aluguel para terceiros e pagamento de diária referente o prejuízo da loja </w:t>
      </w:r>
      <w:r w:rsidR="00E16760">
        <w:rPr>
          <w:rFonts w:ascii="Arial" w:hAnsi="Arial" w:cs="Arial"/>
          <w:color w:val="FF0000"/>
        </w:rPr>
        <w:t xml:space="preserve">ou </w:t>
      </w:r>
      <w:r w:rsidR="007A5EBB" w:rsidRPr="0009261E">
        <w:rPr>
          <w:rFonts w:ascii="Arial" w:hAnsi="Arial" w:cs="Arial"/>
          <w:color w:val="FF0000"/>
        </w:rPr>
        <w:t>do escritório fechado sem faturamento, se no caso de sinistro se comprovar o impacto e necessidade destes itens.</w:t>
      </w: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</w:p>
    <w:p w:rsidR="008A1322" w:rsidRPr="0009261E" w:rsidRDefault="00E16760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color w:val="201F1E"/>
        </w:rPr>
        <w:t xml:space="preserve">2) </w:t>
      </w:r>
      <w:r w:rsidR="007A5EBB" w:rsidRPr="0009261E">
        <w:rPr>
          <w:rFonts w:ascii="Arial" w:hAnsi="Arial" w:cs="Arial"/>
          <w:b/>
          <w:color w:val="201F1E"/>
        </w:rPr>
        <w:t>Pergunta:</w:t>
      </w:r>
      <w:r w:rsidR="007A5EBB" w:rsidRPr="0009261E">
        <w:rPr>
          <w:rFonts w:ascii="Arial" w:hAnsi="Arial" w:cs="Arial"/>
          <w:color w:val="201F1E"/>
        </w:rPr>
        <w:t xml:space="preserve"> b</w:t>
      </w:r>
      <w:proofErr w:type="gramStart"/>
      <w:r w:rsidR="007A5EBB" w:rsidRPr="0009261E">
        <w:rPr>
          <w:rFonts w:ascii="Arial" w:hAnsi="Arial" w:cs="Arial"/>
          <w:color w:val="201F1E"/>
        </w:rPr>
        <w:t>) Os</w:t>
      </w:r>
      <w:proofErr w:type="gramEnd"/>
      <w:r w:rsidR="007A5EBB" w:rsidRPr="0009261E">
        <w:rPr>
          <w:rFonts w:ascii="Arial" w:hAnsi="Arial" w:cs="Arial"/>
          <w:color w:val="201F1E"/>
        </w:rPr>
        <w:t xml:space="preserve"> valores das colunas de Ed</w:t>
      </w:r>
      <w:r w:rsidR="0009261E">
        <w:rPr>
          <w:rFonts w:ascii="Arial" w:hAnsi="Arial" w:cs="Arial"/>
          <w:color w:val="201F1E"/>
        </w:rPr>
        <w:t xml:space="preserve">ificações e Conteúdo e produtos </w:t>
      </w:r>
      <w:r w:rsidR="007A5EBB" w:rsidRPr="0009261E">
        <w:rPr>
          <w:rFonts w:ascii="Arial" w:hAnsi="Arial" w:cs="Arial"/>
          <w:color w:val="201F1E"/>
        </w:rPr>
        <w:t>correspondem aos bens do proprietário do Imóvel?</w:t>
      </w:r>
    </w:p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  <w:r w:rsidRPr="0009261E">
        <w:rPr>
          <w:rFonts w:ascii="Arial" w:hAnsi="Arial" w:cs="Arial"/>
          <w:b/>
          <w:color w:val="FF0000"/>
        </w:rPr>
        <w:t xml:space="preserve">Resposta: </w:t>
      </w:r>
      <w:r w:rsidR="0004616A">
        <w:rPr>
          <w:rFonts w:ascii="Arial" w:hAnsi="Arial" w:cs="Arial"/>
          <w:color w:val="FF0000"/>
        </w:rPr>
        <w:t>E</w:t>
      </w:r>
      <w:r w:rsidR="007A5EBB" w:rsidRPr="0009261E">
        <w:rPr>
          <w:rFonts w:ascii="Arial" w:hAnsi="Arial" w:cs="Arial"/>
          <w:color w:val="FF0000"/>
        </w:rPr>
        <w:t>m relação ao item EDIFICAÇÕES este sim é referente ao proprietário do Imóvel de terceiro envolvido no sinistro ou ao inquilino, aquele ao qual estiver responsável pelo imóvel perante esta situação no momento do sinistro. E em se tratando do item CONTEÚDO E PRODUTOS, este é sim referente aos moveis, estoques e outros itens constantes no interior do imóvel, este podendo ser do proprietário ou de inquilino dependendo a situação do imóvel no momento do sinistro.</w:t>
      </w: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</w:p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 w:rsidRPr="0009261E">
        <w:rPr>
          <w:rFonts w:ascii="Arial" w:hAnsi="Arial" w:cs="Arial"/>
          <w:b/>
          <w:color w:val="201F1E"/>
        </w:rPr>
        <w:t xml:space="preserve">3) </w:t>
      </w:r>
      <w:r w:rsidR="0009261E" w:rsidRPr="0009261E">
        <w:rPr>
          <w:rFonts w:ascii="Arial" w:hAnsi="Arial" w:cs="Arial"/>
          <w:b/>
          <w:color w:val="201F1E"/>
        </w:rPr>
        <w:t>Pergunta</w:t>
      </w:r>
      <w:r w:rsidRPr="0009261E">
        <w:rPr>
          <w:rFonts w:ascii="Arial" w:hAnsi="Arial" w:cs="Arial"/>
          <w:b/>
          <w:color w:val="201F1E"/>
        </w:rPr>
        <w:t xml:space="preserve">: </w:t>
      </w:r>
      <w:r w:rsidR="0009261E" w:rsidRPr="0009261E">
        <w:rPr>
          <w:rFonts w:ascii="Arial" w:hAnsi="Arial" w:cs="Arial"/>
          <w:color w:val="201F1E"/>
        </w:rPr>
        <w:t xml:space="preserve">c) Como tratam-se dos mesmos locais de riscos </w:t>
      </w:r>
      <w:proofErr w:type="gramStart"/>
      <w:r w:rsidR="0009261E" w:rsidRPr="0009261E">
        <w:rPr>
          <w:rFonts w:ascii="Arial" w:hAnsi="Arial" w:cs="Arial"/>
          <w:color w:val="201F1E"/>
        </w:rPr>
        <w:t>( Endereços</w:t>
      </w:r>
      <w:proofErr w:type="gramEnd"/>
      <w:r w:rsidR="0009261E" w:rsidRPr="0009261E">
        <w:rPr>
          <w:rFonts w:ascii="Arial" w:hAnsi="Arial" w:cs="Arial"/>
          <w:color w:val="201F1E"/>
        </w:rPr>
        <w:t xml:space="preserve"> ) , podemos somar as coberturas de ambos os quadros em uma única apólice ?</w:t>
      </w:r>
    </w:p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  <w:r w:rsidRPr="0009261E">
        <w:rPr>
          <w:rFonts w:ascii="Arial" w:hAnsi="Arial" w:cs="Arial"/>
          <w:b/>
          <w:color w:val="FF0000"/>
        </w:rPr>
        <w:t xml:space="preserve">Resposta: </w:t>
      </w:r>
      <w:r w:rsidR="0004616A">
        <w:rPr>
          <w:rFonts w:ascii="Arial" w:hAnsi="Arial" w:cs="Arial"/>
          <w:color w:val="FF0000"/>
        </w:rPr>
        <w:t>Em relação a esta</w:t>
      </w:r>
      <w:r w:rsidR="0009261E" w:rsidRPr="0009261E">
        <w:rPr>
          <w:rFonts w:ascii="Arial" w:hAnsi="Arial" w:cs="Arial"/>
          <w:color w:val="FF0000"/>
        </w:rPr>
        <w:t xml:space="preserve"> questão deve-se verificar como as operadoras de seguros fazem este tipo de contratação e que seja de forma legal, considerando isto não temos divergência em ser em apólice única, </w:t>
      </w:r>
      <w:r w:rsidR="0004616A">
        <w:rPr>
          <w:rFonts w:ascii="Arial" w:hAnsi="Arial" w:cs="Arial"/>
          <w:color w:val="FF0000"/>
        </w:rPr>
        <w:t>desde que se conste</w:t>
      </w:r>
      <w:r w:rsidR="0009261E" w:rsidRPr="0009261E">
        <w:rPr>
          <w:rFonts w:ascii="Arial" w:hAnsi="Arial" w:cs="Arial"/>
          <w:color w:val="FF0000"/>
        </w:rPr>
        <w:t xml:space="preserve"> de forma clara e identificada cada cobertura e seu valor por endereço e imóvel.</w:t>
      </w: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</w:p>
    <w:p w:rsidR="008A1322" w:rsidRPr="0009261E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</w:p>
    <w:p w:rsidR="0009261E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 w:rsidRPr="0009261E">
        <w:rPr>
          <w:rFonts w:ascii="Arial" w:hAnsi="Arial" w:cs="Arial"/>
          <w:b/>
          <w:color w:val="201F1E"/>
        </w:rPr>
        <w:t xml:space="preserve">4) </w:t>
      </w:r>
      <w:r w:rsidR="0009261E" w:rsidRPr="0009261E">
        <w:rPr>
          <w:rFonts w:ascii="Arial" w:hAnsi="Arial" w:cs="Arial"/>
          <w:b/>
          <w:color w:val="201F1E"/>
        </w:rPr>
        <w:t>Pergunta</w:t>
      </w:r>
      <w:r w:rsidRPr="0009261E">
        <w:rPr>
          <w:rFonts w:ascii="Arial" w:hAnsi="Arial" w:cs="Arial"/>
          <w:b/>
          <w:color w:val="201F1E"/>
        </w:rPr>
        <w:t xml:space="preserve">: </w:t>
      </w:r>
      <w:r w:rsidR="0009261E" w:rsidRPr="0009261E">
        <w:rPr>
          <w:rFonts w:ascii="Arial" w:hAnsi="Arial" w:cs="Arial"/>
          <w:color w:val="201F1E"/>
        </w:rPr>
        <w:t>d</w:t>
      </w:r>
      <w:proofErr w:type="gramStart"/>
      <w:r w:rsidR="0009261E" w:rsidRPr="0009261E">
        <w:rPr>
          <w:rFonts w:ascii="Arial" w:hAnsi="Arial" w:cs="Arial"/>
          <w:color w:val="201F1E"/>
        </w:rPr>
        <w:t>) Ou</w:t>
      </w:r>
      <w:proofErr w:type="gramEnd"/>
      <w:r w:rsidR="0009261E" w:rsidRPr="0009261E">
        <w:rPr>
          <w:rFonts w:ascii="Arial" w:hAnsi="Arial" w:cs="Arial"/>
          <w:color w:val="201F1E"/>
        </w:rPr>
        <w:t xml:space="preserve"> por tratar-se de bens de terceiros deverão tais coberturas serem apresentadas em um item separado.</w:t>
      </w:r>
    </w:p>
    <w:p w:rsidR="008A1322" w:rsidRPr="0009261E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 w:rsidRPr="0009261E">
        <w:rPr>
          <w:rFonts w:ascii="Arial" w:hAnsi="Arial" w:cs="Arial"/>
          <w:b/>
          <w:color w:val="FF0000"/>
        </w:rPr>
        <w:t xml:space="preserve">Resposta: </w:t>
      </w:r>
      <w:r w:rsidR="0009261E" w:rsidRPr="0009261E">
        <w:rPr>
          <w:rFonts w:ascii="Arial" w:hAnsi="Arial" w:cs="Arial"/>
          <w:color w:val="FF0000"/>
        </w:rPr>
        <w:t xml:space="preserve">Como dito considerar o que é feito pelas operadoras neste tipo de contratação de forma legal e detalhada, considerando isto não temos </w:t>
      </w:r>
      <w:r w:rsidR="0004616A">
        <w:rPr>
          <w:rFonts w:ascii="Arial" w:hAnsi="Arial" w:cs="Arial"/>
          <w:color w:val="FF0000"/>
        </w:rPr>
        <w:t>objeção de</w:t>
      </w:r>
      <w:r w:rsidR="0009261E" w:rsidRPr="0009261E">
        <w:rPr>
          <w:rFonts w:ascii="Arial" w:hAnsi="Arial" w:cs="Arial"/>
          <w:color w:val="FF0000"/>
        </w:rPr>
        <w:t xml:space="preserve"> apólice única.</w:t>
      </w:r>
    </w:p>
    <w:p w:rsidR="008A1322" w:rsidRDefault="008A1322"/>
    <w:p w:rsidR="008A1322" w:rsidRDefault="00EE581E">
      <w:pPr>
        <w:jc w:val="right"/>
      </w:pPr>
      <w:r>
        <w:t xml:space="preserve">Curitiba, </w:t>
      </w:r>
      <w:r w:rsidR="0009261E">
        <w:t>28</w:t>
      </w:r>
      <w:r>
        <w:t xml:space="preserve"> de </w:t>
      </w:r>
      <w:r w:rsidR="0009261E">
        <w:t>junho</w:t>
      </w:r>
      <w:r>
        <w:t xml:space="preserve"> de 2022.</w:t>
      </w:r>
    </w:p>
    <w:p w:rsidR="008A1322" w:rsidRDefault="008A1322">
      <w:pPr>
        <w:jc w:val="right"/>
      </w:pPr>
      <w:bookmarkStart w:id="0" w:name="_GoBack"/>
      <w:bookmarkEnd w:id="0"/>
    </w:p>
    <w:p w:rsidR="008A1322" w:rsidRDefault="008A1322">
      <w:pPr>
        <w:jc w:val="right"/>
      </w:pPr>
    </w:p>
    <w:p w:rsidR="0009261E" w:rsidRDefault="0009261E">
      <w:pPr>
        <w:jc w:val="right"/>
      </w:pPr>
    </w:p>
    <w:p w:rsidR="008A1322" w:rsidRDefault="008A1322">
      <w:pPr>
        <w:jc w:val="right"/>
      </w:pPr>
    </w:p>
    <w:p w:rsidR="008A1322" w:rsidRDefault="00EE581E">
      <w:pPr>
        <w:spacing w:line="240" w:lineRule="auto"/>
        <w:jc w:val="center"/>
      </w:pPr>
      <w:r>
        <w:t>___________________________________</w:t>
      </w:r>
    </w:p>
    <w:p w:rsidR="008A1322" w:rsidRDefault="00EE581E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MARCOS VINICIUS RISSATTO RAMOS</w:t>
      </w:r>
    </w:p>
    <w:p w:rsidR="008A1322" w:rsidRDefault="00EE581E">
      <w:pPr>
        <w:spacing w:line="240" w:lineRule="auto"/>
        <w:jc w:val="center"/>
      </w:pPr>
      <w:r>
        <w:t>Pregoeiro Titular CAU/PR</w:t>
      </w:r>
    </w:p>
    <w:sectPr w:rsidR="008A1322">
      <w:headerReference w:type="default" r:id="rId7"/>
      <w:footerReference w:type="default" r:id="rId8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79" w:rsidRDefault="00B81A79">
      <w:pPr>
        <w:spacing w:after="0" w:line="240" w:lineRule="auto"/>
      </w:pPr>
      <w:r>
        <w:separator/>
      </w:r>
    </w:p>
  </w:endnote>
  <w:endnote w:type="continuationSeparator" w:id="0">
    <w:p w:rsidR="00B81A79" w:rsidRDefault="00B8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ranq eco sans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22" w:rsidRDefault="00EE581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A1322" w:rsidRDefault="00EE581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A1322" w:rsidRDefault="00EE581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79" w:rsidRDefault="00B81A79">
      <w:pPr>
        <w:spacing w:after="0" w:line="240" w:lineRule="auto"/>
      </w:pPr>
      <w:r>
        <w:separator/>
      </w:r>
    </w:p>
  </w:footnote>
  <w:footnote w:type="continuationSeparator" w:id="0">
    <w:p w:rsidR="00B81A79" w:rsidRDefault="00B8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50820"/>
      <w:docPartObj>
        <w:docPartGallery w:val="Page Numbers (Top of Page)"/>
        <w:docPartUnique/>
      </w:docPartObj>
    </w:sdtPr>
    <w:sdtEndPr/>
    <w:sdtContent>
      <w:p w:rsidR="008A1322" w:rsidRDefault="00EE581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115D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115D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A1322" w:rsidRDefault="008A1322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22"/>
    <w:rsid w:val="0004616A"/>
    <w:rsid w:val="0009261E"/>
    <w:rsid w:val="007A5EBB"/>
    <w:rsid w:val="008A1322"/>
    <w:rsid w:val="00A6065D"/>
    <w:rsid w:val="00B81A79"/>
    <w:rsid w:val="00D115DF"/>
    <w:rsid w:val="00D62263"/>
    <w:rsid w:val="00E16760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9E79-BCDD-441F-8960-5355FDC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233E3D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qFormat/>
    <w:rsid w:val="00233E3D"/>
    <w:pPr>
      <w:jc w:val="both"/>
      <w:textAlignment w:val="baseline"/>
    </w:pPr>
    <w:rPr>
      <w:rFonts w:ascii="Spranq eco sans" w:eastAsia="Arial" w:hAnsi="Spranq eco sans" w:cs="Times New Roman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qFormat/>
    <w:rsid w:val="00233E3D"/>
    <w:pPr>
      <w:keepNext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qFormat/>
    <w:rsid w:val="00233E3D"/>
    <w:pPr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u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2022-06-28T19:03:00Z</cp:lastPrinted>
  <dcterms:created xsi:type="dcterms:W3CDTF">2022-06-28T18:29:00Z</dcterms:created>
  <dcterms:modified xsi:type="dcterms:W3CDTF">2022-06-28T19:04:00Z</dcterms:modified>
  <dc:language>pt-BR</dc:language>
</cp:coreProperties>
</file>