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" w:hanging="0"/>
        <w:jc w:val="center"/>
        <w:rPr>
          <w:b/>
          <w:b/>
          <w:color w:val="010101"/>
          <w:w w:val="105"/>
          <w:sz w:val="28"/>
          <w:szCs w:val="28"/>
        </w:rPr>
      </w:pPr>
      <w:r>
        <w:rPr>
          <w:b/>
          <w:color w:val="010101"/>
          <w:w w:val="105"/>
          <w:sz w:val="28"/>
          <w:szCs w:val="28"/>
        </w:rPr>
      </w:r>
    </w:p>
    <w:p>
      <w:pPr>
        <w:pStyle w:val="Ttu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312" w:before="0" w:after="160"/>
        <w:ind w:left="1474" w:right="1191" w:hanging="1134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EDITAL DE CHAMAMENTO PÚBLICO Nº 004/2022 – CAU/PR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12" w:before="0" w:after="160"/>
        <w:ind w:left="1474" w:right="1191" w:hanging="1134"/>
        <w:jc w:val="center"/>
        <w:outlineLvl w:val="0"/>
        <w:rPr/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CONCURSO </w:t>
      </w:r>
      <w:r>
        <w:rPr>
          <w:rFonts w:ascii="Times New Roman" w:hAnsi="Times New Roman"/>
          <w:b/>
          <w:bCs/>
          <w:color w:val="000000"/>
          <w:sz w:val="22"/>
          <w:szCs w:val="22"/>
          <w:shd w:fill="auto" w:val="clear"/>
        </w:rPr>
        <w:t xml:space="preserve">DE CARTAZES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PARA O PRÊMIO TFG CAU/PR</w:t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sz w:val="24"/>
          <w:szCs w:val="24"/>
        </w:rPr>
      </w:pP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Aos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trinta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dias do mês de nov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embro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do ano de dois mil e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vinte e dois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, a partir das </w:t>
      </w:r>
      <w:r>
        <w:rPr>
          <w:rFonts w:ascii="Times New Roman" w:hAnsi="Times New Roman"/>
          <w:color w:val="010101"/>
          <w:w w:val="105"/>
          <w:sz w:val="24"/>
          <w:szCs w:val="24"/>
        </w:rPr>
        <w:t>onze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ascii="Times New Roman" w:hAnsi="Times New Roman"/>
          <w:color w:val="010101"/>
          <w:w w:val="105"/>
          <w:sz w:val="24"/>
          <w:szCs w:val="24"/>
        </w:rPr>
        <w:t>horas,</w:t>
      </w:r>
      <w:r>
        <w:rPr>
          <w:rFonts w:ascii="Times New Roman" w:hAnsi="Times New Roman"/>
          <w:color w:val="010101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 xml:space="preserve">reuniu-se, de forma virtual, </w:t>
      </w:r>
      <w:r>
        <w:rPr>
          <w:rFonts w:ascii="Times New Roman" w:hAnsi="Times New Roman"/>
          <w:b w:val="false"/>
          <w:bCs w:val="false"/>
          <w:color w:val="010101"/>
          <w:w w:val="105"/>
          <w:sz w:val="24"/>
          <w:szCs w:val="24"/>
        </w:rPr>
        <w:t xml:space="preserve">a Comissão de Avaliação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do Edital de Chamamento Público número 00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4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/2022 –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Concurso de Cartazes para o Prêmio TFG CAU/PR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, Comissão esta designada por meio da PORTARIA Nº 39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9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, DE 2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8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 DE NOVEMBRO DE 2022, com objetivo 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 xml:space="preserve">de analisar e homologar as inscrições referido Edital.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Estiveram presentes na reunião o arquiteto e urbanista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 xml:space="preserve">Eduardo Verri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Lop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es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, na condição de coordenador; a arquiteta e urbanista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 xml:space="preserve">Constança Lacerda Camargo;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 xml:space="preserve">e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10101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 xml:space="preserve">o arquiteto e urbanista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>Antonio Claret Pereira de Miranda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 xml:space="preserve">. Analisadas, as inscrições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>relacionadas abaixo, foram homologadas.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Encerrados os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trabalhos desta Comissão de Avaliação, às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onze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horas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trinta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minutos do dia vinte e oito do mês de novembro do ano de dois mil e vinte e dois, 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ara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constar, eu,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Francine Claudia Kosciuv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, lavro a presente Ata que, depois de lida e aprovada, será assinada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por este relator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demais integrantes desta Comissão,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 para que produza os devidos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efeitos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4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legais.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Alan de Mello Coelho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Amanda de Oliveira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Amanda Machado de Carvalho Neves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Anderson Rodrigo Müller - UNIVEL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Maria de Barros Lemos - PUC/PR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Beatriz Bertapeli Colodel - PUC/PR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Briani Helena de Souza Britto - PUC/PR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Caio Cesar Fernandes Frankiu - Tuiuti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Claudio Pereira de Sampaio - Faculdade Pitágoras Londrina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Danieli de Oliveira Alvarez - IFPR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Dyorgines Evaristo dos Santos - UTFPR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Fabricio Couto Moura - UNICESUMAR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 Castro Osachuki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Zaruvne Baptista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Giovanna Bregolato Amendola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Giulia Tortola Sacaue - UEM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Henrique Anselmo do Nascimento - UNIBRASIL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Idalina Rayane Rodrigues - Unicesumar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Ilana Kruchelski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João Guilherme Humeniuk Lopes - UTFPR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Kesse Jhones de Almeida Bueno - UTFPR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Luana Adrielly Bach Tostes - UNICESUMAR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Maria Fernanda de Faveri Marquesine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Mateus Tedeschi Diogo dos Santos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Natalia Katherina Metzger - UNIFIL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Paulo Cesar Carrasco Chiconello - UEL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Paulo Rogério de Souza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Rafael Tiago Rosa - UniOPET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Raul Comelli Pizzato - UFPR</w:t>
      </w:r>
    </w:p>
    <w:p>
      <w:pPr>
        <w:pStyle w:val="Corpodotexto"/>
        <w:spacing w:lineRule="auto" w:line="240" w:before="181" w:after="0"/>
        <w:ind w:left="365" w:right="131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Vinicius Gonçalves - Unifacear</w:t>
      </w:r>
    </w:p>
    <w:p>
      <w:pPr>
        <w:pStyle w:val="Normal"/>
        <w:spacing w:lineRule="auto" w:line="240" w:before="181" w:after="0"/>
        <w:ind w:left="365" w:right="131" w:firstLine="5"/>
        <w:jc w:val="both"/>
        <w:rPr>
          <w:rFonts w:ascii="Times New Roman" w:hAnsi="Times New Roman"/>
          <w:color w:val="010101"/>
          <w:w w:val="105"/>
        </w:rPr>
      </w:pPr>
      <w:r>
        <w:rPr>
          <w:rFonts w:ascii="Times New Roman" w:hAnsi="Times New Roman"/>
          <w:color w:val="010101"/>
          <w:w w:val="105"/>
        </w:rPr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1100" w:leader="none"/>
        </w:tabs>
        <w:spacing w:lineRule="auto" w:line="276"/>
        <w:ind w:left="1050" w:right="156" w:hanging="345"/>
        <w:jc w:val="both"/>
        <w:rPr>
          <w:rFonts w:ascii="Times New Roman" w:hAnsi="Times New Roman" w:eastAsia="Arial" w:cs="Arial"/>
          <w:color w:val="010101"/>
          <w:w w:val="105"/>
          <w:kern w:val="0"/>
          <w:sz w:val="24"/>
          <w:szCs w:val="24"/>
          <w:lang w:val="pt-BR" w:eastAsia="pt-BR" w:bidi="ar-SA"/>
        </w:rPr>
      </w:pP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EDUARDO VERRI LOPES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08"/>
          <w:tab w:val="left" w:pos="1100" w:leader="none"/>
        </w:tabs>
        <w:spacing w:lineRule="auto" w:line="276"/>
        <w:ind w:left="1050" w:right="156" w:hanging="345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>CONSTANÇA LACERDA CAMARGO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</w:t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 xml:space="preserve">           </w:t>
      </w: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ANTONIO CLARET PEREIRA DE MIRANDA</w:t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          </w:t>
      </w: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____________________________________________</w:t>
      </w:r>
    </w:p>
    <w:p>
      <w:pPr>
        <w:pStyle w:val="Corpodotexto"/>
        <w:tabs>
          <w:tab w:val="clear" w:pos="708"/>
          <w:tab w:val="left" w:pos="1100" w:leader="none"/>
        </w:tabs>
        <w:spacing w:lineRule="auto" w:line="240" w:before="181" w:after="0"/>
        <w:ind w:left="365" w:right="131" w:firstLine="5"/>
        <w:jc w:val="both"/>
        <w:rPr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    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FRANCINE CLAUDIA KOSCIUV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0786913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LibreOffice/7.1.3.2$Windows_X86_64 LibreOffice_project/47f78053abe362b9384784d31a6e56f8511eb1c1</Application>
  <AppVersion>15.0000</AppVersion>
  <Pages>2</Pages>
  <Words>449</Words>
  <Characters>2452</Characters>
  <CharactersWithSpaces>2889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2017-08-22T18:56:00Z</cp:lastPrinted>
  <dcterms:modified xsi:type="dcterms:W3CDTF">2022-11-30T11:30:21Z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