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21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media/image53.jpeg" ContentType="image/jpeg"/>
  <Override PartName="/word/media/image1.jpeg" ContentType="image/jpeg"/>
  <Override PartName="/word/media/image2.wmf" ContentType="image/x-wmf"/>
  <Override PartName="/word/media/image27.jpeg" ContentType="image/jpeg"/>
  <Override PartName="/word/media/image3.wmf" ContentType="image/x-wmf"/>
  <Override PartName="/word/media/image58.jpeg" ContentType="image/jpeg"/>
  <Override PartName="/word/media/image6.jpeg" ContentType="image/jpeg"/>
  <Override PartName="/word/media/image33.wmf" ContentType="image/x-wmf"/>
  <Override PartName="/word/media/image70.wmf" ContentType="image/x-wmf"/>
  <Override PartName="/word/media/image4.wmf" ContentType="image/x-wmf"/>
  <Override PartName="/word/media/image5.jpeg" ContentType="image/jpeg"/>
  <Override PartName="/word/media/image7.wmf" ContentType="image/x-wmf"/>
  <Override PartName="/word/media/image8.jpeg" ContentType="image/jpeg"/>
  <Override PartName="/word/media/image9.jpeg" ContentType="image/jpeg"/>
  <Override PartName="/word/media/image63.wmf" ContentType="image/x-wmf"/>
  <Override PartName="/word/media/image10.wmf" ContentType="image/x-wmf"/>
  <Override PartName="/word/media/image11.jpeg" ContentType="image/jpeg"/>
  <Override PartName="/word/media/image12.jpeg" ContentType="image/jpeg"/>
  <Override PartName="/word/media/image13.wmf" ContentType="image/x-wmf"/>
  <Override PartName="/word/media/image14.wmf" ContentType="image/x-wmf"/>
  <Override PartName="/word/media/image17.jpeg" ContentType="image/jpeg"/>
  <Override PartName="/word/media/image15.jpeg" ContentType="image/jpeg"/>
  <Override PartName="/word/media/image16.wmf" ContentType="image/x-wmf"/>
  <Override PartName="/word/media/image18.wmf" ContentType="image/x-wmf"/>
  <Override PartName="/word/media/image62.jpeg" ContentType="image/jpeg"/>
  <Override PartName="/word/media/image19.wmf" ContentType="image/x-wmf"/>
  <Override PartName="/word/media/image23.jpeg" ContentType="image/jpeg"/>
  <Override PartName="/word/media/image20.jpeg" ContentType="image/jpeg"/>
  <Override PartName="/word/media/image56.wmf" ContentType="image/x-wmf"/>
  <Override PartName="/word/media/image21.jpeg" ContentType="image/jpeg"/>
  <Override PartName="/word/media/image22.png" ContentType="image/png"/>
  <Override PartName="/word/media/image24.wmf" ContentType="image/x-wmf"/>
  <Override PartName="/word/media/image25.wmf" ContentType="image/x-wmf"/>
  <Override PartName="/word/media/image26.jpeg" ContentType="image/jpeg"/>
  <Override PartName="/word/media/image49.wmf" ContentType="image/x-wmf"/>
  <Override PartName="/word/media/image28.wmf" ContentType="image/x-wmf"/>
  <Override PartName="/word/media/image29.jpeg" ContentType="image/jpeg"/>
  <Override PartName="/word/media/image30.wmf" ContentType="image/x-wmf"/>
  <Override PartName="/word/media/image31.jpeg" ContentType="image/jpeg"/>
  <Override PartName="/word/media/image32.wmf" ContentType="image/x-wmf"/>
  <Override PartName="/word/media/image40.jpeg" ContentType="image/jpeg"/>
  <Override PartName="/word/media/image34.jpeg" ContentType="image/jpeg"/>
  <Override PartName="/word/media/image35.wmf" ContentType="image/x-wmf"/>
  <Override PartName="/word/media/image36.jpeg" ContentType="image/jpeg"/>
  <Override PartName="/word/media/image37.wmf" ContentType="image/x-wmf"/>
  <Override PartName="/word/media/image38.jpeg" ContentType="image/jpeg"/>
  <Override PartName="/word/media/image57.wmf" ContentType="image/x-wmf"/>
  <Override PartName="/word/media/image39.wmf" ContentType="image/x-wmf"/>
  <Override PartName="/word/media/image41.wmf" ContentType="image/x-wmf"/>
  <Override PartName="/word/media/image42.jpeg" ContentType="image/jpeg"/>
  <Override PartName="/word/media/image43.wmf" ContentType="image/x-wmf"/>
  <Override PartName="/word/media/image59.jpeg" ContentType="image/jpeg"/>
  <Override PartName="/word/media/image44.jpeg" ContentType="image/jpeg"/>
  <Override PartName="/word/media/image60.png" ContentType="image/png"/>
  <Override PartName="/word/media/image45.wmf" ContentType="image/x-wmf"/>
  <Override PartName="/word/media/image48.jpeg" ContentType="image/jpeg"/>
  <Override PartName="/word/media/image46.wmf" ContentType="image/x-wmf"/>
  <Override PartName="/word/media/image47.wmf" ContentType="image/x-wmf"/>
  <Override PartName="/word/media/image50.jpeg" ContentType="image/jpeg"/>
  <Override PartName="/word/media/image51.wmf" ContentType="image/x-wmf"/>
  <Override PartName="/word/media/image52.jpeg" ContentType="image/jpeg"/>
  <Override PartName="/word/media/image54.jpeg" ContentType="image/jpeg"/>
  <Override PartName="/word/media/image55.wmf" ContentType="image/x-wmf"/>
  <Override PartName="/word/media/image61.jpeg" ContentType="image/jpeg"/>
  <Override PartName="/word/media/image64.jpeg" ContentType="image/jpeg"/>
  <Override PartName="/word/media/image65.wmf" ContentType="image/x-wmf"/>
  <Override PartName="/word/media/image66.jpeg" ContentType="image/jpeg"/>
  <Override PartName="/word/media/image67.wmf" ContentType="image/x-wmf"/>
  <Override PartName="/word/media/image68.jpeg" ContentType="image/jpeg"/>
  <Override PartName="/word/media/image69.wmf" ContentType="image/x-wmf"/>
  <Override PartName="/word/media/image71.jpeg" ContentType="image/jpeg"/>
  <Override PartName="/word/media/image72.jpeg" ContentType="image/jpeg"/>
  <Override PartName="/word/footer16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20.xml" ContentType="application/vnd.openxmlformats-officedocument.wordprocessingml.footer+xml"/>
  <Override PartName="/word/footer2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22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23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24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25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26.xml" ContentType="application/vnd.openxmlformats-officedocument.wordprocessingml.footer+xml"/>
  <Override PartName="/word/header8.xml" ContentType="application/vnd.openxmlformats-officedocument.wordprocessingml.header+xml"/>
  <Override PartName="/word/footer27.xml" ContentType="application/vnd.openxmlformats-officedocument.wordprocessingml.footer+xml"/>
  <Override PartName="/word/header9.xml" ContentType="application/vnd.openxmlformats-officedocument.wordprocessingml.header+xml"/>
  <Override PartName="/word/footer28.xml" ContentType="application/vnd.openxmlformats-officedocument.wordprocessingml.footer+xml"/>
  <Override PartName="/word/header10.xml" ContentType="application/vnd.openxmlformats-officedocument.wordprocessingml.header+xml"/>
  <Override PartName="/word/footer30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19.xml.rels" ContentType="application/vnd.openxmlformats-package.relationships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header4.xml.rels" ContentType="application/vnd.openxmlformats-package.relationships+xml"/>
  <Override PartName="/word/_rels/header5.xml.rels" ContentType="application/vnd.openxmlformats-package.relationships+xml"/>
  <Override PartName="/word/_rels/header6.xml.rels" ContentType="application/vnd.openxmlformats-package.relationships+xml"/>
  <Override PartName="/word/_rels/footer25.xml.rels" ContentType="application/vnd.openxmlformats-package.relationships+xml"/>
  <Override PartName="/word/_rels/header7.xml.rels" ContentType="application/vnd.openxmlformats-package.relationships+xml"/>
  <Override PartName="/word/_rels/header8.xml.rels" ContentType="application/vnd.openxmlformats-package.relationships+xml"/>
  <Override PartName="/word/_rels/header9.xml.rels" ContentType="application/vnd.openxmlformats-package.relationships+xml"/>
  <Override PartName="/word/_rels/header10.xml.rels" ContentType="application/vnd.openxmlformats-package.relationships+xml"/>
  <Override PartName="/word/_rels/header11.xml.rels" ContentType="application/vnd.openxmlformats-package.relationships+xml"/>
  <Override PartName="/word/_rels/header12.xml.rels" ContentType="application/vnd.openxmlformats-package.relationships+xml"/>
  <Override PartName="/word/_rels/header13.xml.rels" ContentType="application/vnd.openxmlformats-package.relationships+xml"/>
  <Override PartName="/word/_rels/header14.xml.rels" ContentType="application/vnd.openxmlformats-package.relationships+xml"/>
  <Override PartName="/word/_rels/header15.xml.rels" ContentType="application/vnd.openxmlformats-package.relationships+xml"/>
  <Override PartName="/word/_rels/header16.xml.rels" ContentType="application/vnd.openxmlformats-package.relationships+xml"/>
  <Override PartName="/word/_rels/header17.xml.rels" ContentType="application/vnd.openxmlformats-package.relationships+xml"/>
  <Override PartName="/word/_rels/header18.xml.rels" ContentType="application/vnd.openxmlformats-package.relationships+xml"/>
  <Override PartName="/word/_rels/header20.xml.rels" ContentType="application/vnd.openxmlformats-package.relationships+xml"/>
  <Override PartName="/word/_rels/header21.xml.rels" ContentType="application/vnd.openxmlformats-package.relationships+xml"/>
  <Override PartName="/word/_rels/header22.xml.rels" ContentType="application/vnd.openxmlformats-package.relationships+xml"/>
  <Override PartName="/word/_rels/header23.xml.rels" ContentType="application/vnd.openxmlformats-package.relationships+xml"/>
  <Override PartName="/word/_rels/header24.xml.rels" ContentType="application/vnd.openxmlformats-package.relationships+xml"/>
  <Override PartName="/word/_rels/header25.xml.rels" ContentType="application/vnd.openxmlformats-package.relationships+xml"/>
  <Override PartName="/word/_rels/header26.xml.rels" ContentType="application/vnd.openxmlformats-package.relationships+xml"/>
  <Override PartName="/word/_rels/header27.xml.rels" ContentType="application/vnd.openxmlformats-package.relationships+xml"/>
  <Override PartName="/word/_rels/header28.xml.rels" ContentType="application/vnd.openxmlformats-package.relationships+xml"/>
  <Override PartName="/word/_rels/header29.xml.rels" ContentType="application/vnd.openxmlformats-package.relationships+xml"/>
  <Override PartName="/word/_rels/header30.xml.rels" ContentType="application/vnd.openxmlformats-package.relationships+xml"/>
  <Override PartName="/word/_rels/header31.xml.rels" ContentType="application/vnd.openxmlformats-package.relationships+xml"/>
  <Override PartName="/word/_rels/header32.xml.rels" ContentType="application/vnd.openxmlformats-package.relationships+xml"/>
  <Override PartName="/word/_rels/header33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3665" simplePos="0" locked="0" layoutInCell="0" allowOverlap="1" relativeHeight="98" wp14:anchorId="78C48D99">
                <wp:simplePos x="0" y="0"/>
                <wp:positionH relativeFrom="page">
                  <wp:align>right</wp:align>
                </wp:positionH>
                <wp:positionV relativeFrom="paragraph">
                  <wp:posOffset>635</wp:posOffset>
                </wp:positionV>
                <wp:extent cx="7556500" cy="7573010"/>
                <wp:effectExtent l="0" t="0" r="6985" b="9525"/>
                <wp:wrapTight wrapText="bothSides">
                  <wp:wrapPolygon edited="0">
                    <wp:start x="0" y="0"/>
                    <wp:lineTo x="0" y="21573"/>
                    <wp:lineTo x="21566" y="21573"/>
                    <wp:lineTo x="21566" y="0"/>
                    <wp:lineTo x="0" y="0"/>
                  </wp:wrapPolygon>
                </wp:wrapTight>
                <wp:docPr id="1" name="Caixa de Texto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040" cy="7572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24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COMISSÃO DE PLANEJAMENTO E FINANÇAS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DIRETRIZES PARA ELABORAÇÃO 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DA REPROGRAMAÇÃO DO 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>PLANO DE AÇÃO E ORÇAMENTO DO CAU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/>
                                <w:sz w:val="40"/>
                                <w:szCs w:val="40"/>
                              </w:rPr>
                              <w:t>EXERCÍCIO 2021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114ª Plenária Ordinária 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Brasília, 29 e 30 de julho de 2021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before="0" w:after="1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3" path="m0,0l-2147483645,0l-2147483645,-2147483646l0,-2147483646xe" stroked="f" style="position:absolute;margin-left:-9.2pt;margin-top:0pt;width:594.9pt;height:596.2pt;mso-wrap-style:square;v-text-anchor:top;mso-position-horizontal:right;mso-position-horizontal-relative:page" wp14:anchorId="78C48D99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before="0" w:after="24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COMISSÃO DE PLANEJAMENTO E FINANÇAS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44"/>
                        </w:rPr>
                      </w:pPr>
                      <w:r>
                        <w:rPr>
                          <w:color w:val="FFFFFF"/>
                          <w:sz w:val="4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44"/>
                        </w:rPr>
                      </w:pPr>
                      <w:r>
                        <w:rPr>
                          <w:color w:val="FFFFFF"/>
                          <w:sz w:val="4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44"/>
                        </w:rPr>
                      </w:pPr>
                      <w:r>
                        <w:rPr>
                          <w:color w:val="FFFFFF"/>
                          <w:sz w:val="4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color w:val="FFFFFF"/>
                          <w:sz w:val="56"/>
                          <w:szCs w:val="56"/>
                        </w:rPr>
                        <w:t xml:space="preserve">DIRETRIZES PARA ELABORAÇÃO 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DA REPROGRAMAÇÃO DO 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>PLANO DE AÇÃO E ORÇAMENTO DO CAU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color w:val="FFFFFF"/>
                          <w:sz w:val="40"/>
                          <w:szCs w:val="40"/>
                        </w:rPr>
                        <w:t>EXERCÍCIO 2021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114ª Plenária Ordinária 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Brasília, 29 e 30 de julho de 2021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ntedodoquadro"/>
                        <w:spacing w:before="0" w:after="16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square"/>
              </v:rect>
            </w:pict>
          </mc:Fallback>
        </mc:AlternateContent>
        <w:drawing>
          <wp:anchor behindDoc="1" distT="0" distB="0" distL="0" distR="0" simplePos="0" locked="0" layoutInCell="0" allowOverlap="1" relativeHeight="99">
            <wp:simplePos x="0" y="0"/>
            <wp:positionH relativeFrom="page">
              <wp:posOffset>-278130</wp:posOffset>
            </wp:positionH>
            <wp:positionV relativeFrom="paragraph">
              <wp:posOffset>-1438275</wp:posOffset>
            </wp:positionV>
            <wp:extent cx="8521065" cy="11349990"/>
            <wp:effectExtent l="0" t="0" r="0" b="0"/>
            <wp:wrapNone/>
            <wp:docPr id="3" name="Imagem 8" descr=":apresentacao:capas:CAU-timbradocapa-01comissoesOrdina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8" descr=":apresentacao:capas:CAU-timbradocapa-01comissoesOrdinarias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065" cy="1134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eastAsia="Arial Unicode MS" w:cs="Calibri"/>
          <w:b/>
          <w:b/>
          <w:sz w:val="24"/>
          <w:szCs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97" wp14:anchorId="5C48AD01">
                <wp:simplePos x="0" y="0"/>
                <wp:positionH relativeFrom="leftMargin">
                  <wp:posOffset>408940</wp:posOffset>
                </wp:positionH>
                <wp:positionV relativeFrom="paragraph">
                  <wp:posOffset>635</wp:posOffset>
                </wp:positionV>
                <wp:extent cx="79375" cy="315595"/>
                <wp:effectExtent l="0" t="0" r="16510" b="8890"/>
                <wp:wrapTight wrapText="bothSides">
                  <wp:wrapPolygon edited="0">
                    <wp:start x="0" y="0"/>
                    <wp:lineTo x="0" y="20903"/>
                    <wp:lineTo x="20903" y="20903"/>
                    <wp:lineTo x="20903" y="0"/>
                    <wp:lineTo x="0" y="0"/>
                  </wp:wrapPolygon>
                </wp:wrapTight>
                <wp:docPr id="4" name="Caixa de Texto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8840" cy="315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DIRETRIZES PARA ELABORAÇÃO 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DA REPROGRAMAÇÃO DO 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>PLANO DE AÇÃO E ORÇAMENTO DO CAU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/>
                                <w:sz w:val="40"/>
                                <w:szCs w:val="40"/>
                              </w:rPr>
                              <w:t>EXERCÍCIO 2020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103ª Plenária Ordinária 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Brasília, 30 e 31 de julho de 2020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before="0" w:after="1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32" path="m0,0l-2147483645,0l-2147483645,-2147483646l0,-2147483646xe" stroked="f" style="position:absolute;margin-left:32.2pt;margin-top:0pt;width:6.15pt;height:24.75pt;flip:x;mso-wrap-style:square;v-text-anchor:top;mso-position-horizontal-relative:page" wp14:anchorId="5C48AD01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44"/>
                        </w:rPr>
                      </w:pPr>
                      <w:r>
                        <w:rPr>
                          <w:color w:val="FFFFFF"/>
                          <w:sz w:val="4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44"/>
                        </w:rPr>
                      </w:pPr>
                      <w:r>
                        <w:rPr>
                          <w:color w:val="FFFFFF"/>
                          <w:sz w:val="4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44"/>
                        </w:rPr>
                      </w:pPr>
                      <w:r>
                        <w:rPr>
                          <w:color w:val="FFFFFF"/>
                          <w:sz w:val="4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color w:val="FFFFFF"/>
                          <w:sz w:val="56"/>
                          <w:szCs w:val="56"/>
                        </w:rPr>
                        <w:t xml:space="preserve">DIRETRIZES PARA ELABORAÇÃO 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DA REPROGRAMAÇÃO DO 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>PLANO DE AÇÃO E ORÇAMENTO DO CAU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color w:val="FFFFFF"/>
                          <w:sz w:val="40"/>
                          <w:szCs w:val="40"/>
                        </w:rPr>
                        <w:t>EXERCÍCIO 2020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103ª Plenária Ordinária 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Brasília, 30 e 31 de julho de 2020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ntedodoquadro"/>
                        <w:spacing w:before="0" w:after="16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eastAsia="Arial Unicode MS" w:cs="Calibri"/>
          <w:b/>
          <w:sz w:val="24"/>
          <w:szCs w:val="24"/>
        </w:rPr>
        <w:t>CONSELHO DE ARQUITETURA E URBANISMO DO BRASIL – CAU/BR</w:t>
      </w:r>
    </w:p>
    <w:p>
      <w:pPr>
        <w:pStyle w:val="Normal"/>
        <w:spacing w:lineRule="auto" w:line="240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SEPS/EQ. Edifício General Alencastro 702/902; Conjunto B, Bloco A; Brasília/DF.</w:t>
      </w:r>
    </w:p>
    <w:p>
      <w:pPr>
        <w:pStyle w:val="Normal"/>
        <w:spacing w:lineRule="auto" w:line="240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</w:r>
    </w:p>
    <w:p>
      <w:pPr>
        <w:pStyle w:val="Normal"/>
        <w:spacing w:lineRule="auto" w:line="240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Nadia Somekh (SP) | Presidente</w:t>
      </w:r>
    </w:p>
    <w:p>
      <w:pPr>
        <w:pStyle w:val="Normal"/>
        <w:spacing w:lineRule="auto" w:line="240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Conselho Diretor</w:t>
      </w:r>
    </w:p>
    <w:p>
      <w:pPr>
        <w:pStyle w:val="Normal"/>
        <w:spacing w:lineRule="auto" w:line="24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Patricia Silva Luz de Macedo</w:t>
        <w:tab/>
        <w:tab/>
        <w:t xml:space="preserve">| Coord. da Comissão de Exercício Profissional </w:t>
      </w:r>
    </w:p>
    <w:p>
      <w:pPr>
        <w:pStyle w:val="Normal"/>
        <w:spacing w:lineRule="auto" w:line="24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Jeferson Dantas Navolar*</w:t>
        <w:tab/>
        <w:tab/>
        <w:t xml:space="preserve">| Coord. Comissão de Organização e Administração </w:t>
      </w:r>
    </w:p>
    <w:p>
      <w:pPr>
        <w:pStyle w:val="Normal"/>
        <w:spacing w:lineRule="auto" w:line="24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Valter Luis Caldana Junior</w:t>
        <w:tab/>
        <w:tab/>
        <w:t xml:space="preserve">| Coord. Comissão de Ensino e Formação </w:t>
      </w:r>
    </w:p>
    <w:p>
      <w:pPr>
        <w:pStyle w:val="Normal"/>
        <w:spacing w:lineRule="auto" w:line="24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Fabricio Lopes Santos</w:t>
        <w:tab/>
        <w:tab/>
        <w:tab/>
        <w:t>| Coord. Comissão de Ética e Disciplina</w:t>
      </w:r>
    </w:p>
    <w:p>
      <w:pPr>
        <w:pStyle w:val="Normal"/>
        <w:spacing w:lineRule="auto" w:line="24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Daniela Pareja Garcia Sarmento*</w:t>
        <w:tab/>
        <w:t xml:space="preserve">| Coord. da Comissão de Planejamento e Finanças </w:t>
      </w:r>
    </w:p>
    <w:p>
      <w:pPr>
        <w:pStyle w:val="Normal"/>
        <w:spacing w:lineRule="auto" w:line="240"/>
        <w:rPr>
          <w:rFonts w:eastAsia="Arial Unicode MS" w:cs="Calibri"/>
          <w:i/>
          <w:i/>
          <w:iCs/>
          <w:sz w:val="20"/>
          <w:szCs w:val="20"/>
        </w:rPr>
      </w:pPr>
      <w:r>
        <w:rPr>
          <w:rFonts w:eastAsia="Arial Unicode MS" w:cs="Calibri"/>
          <w:i/>
          <w:iCs/>
          <w:sz w:val="20"/>
          <w:szCs w:val="20"/>
        </w:rPr>
        <w:t>* Vice-presidentes</w:t>
      </w:r>
    </w:p>
    <w:p>
      <w:pPr>
        <w:pStyle w:val="Normal"/>
        <w:spacing w:lineRule="auto" w:line="240"/>
        <w:rPr>
          <w:rFonts w:eastAsia="Arial Unicode MS" w:cs="Calibri"/>
          <w:b/>
          <w:b/>
          <w:color w:val="FF0000"/>
        </w:rPr>
      </w:pPr>
      <w:r>
        <w:rPr>
          <w:rFonts w:eastAsia="Arial Unicode MS" w:cs="Calibri"/>
          <w:b/>
          <w:color w:val="FF0000"/>
        </w:rPr>
      </w:r>
    </w:p>
    <w:p>
      <w:pPr>
        <w:pStyle w:val="Normal"/>
        <w:spacing w:lineRule="auto" w:line="240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Comissão de Planejamento e Finanças</w:t>
      </w:r>
    </w:p>
    <w:p>
      <w:pPr>
        <w:pStyle w:val="Normal"/>
        <w:spacing w:lineRule="auto" w:line="24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Daniela Pareja Garcia Sarmento</w:t>
        <w:tab/>
        <w:t>|   Coordenador</w:t>
      </w:r>
    </w:p>
    <w:p>
      <w:pPr>
        <w:pStyle w:val="Normal"/>
        <w:spacing w:lineRule="auto" w:line="24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Maíra Rocha Mattos</w:t>
        <w:tab/>
        <w:tab/>
        <w:tab/>
        <w:t>|   Coordenador Adjunto</w:t>
      </w:r>
    </w:p>
    <w:p>
      <w:pPr>
        <w:pStyle w:val="Normal"/>
        <w:spacing w:lineRule="auto" w:line="24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Camila Leal Costa</w:t>
      </w:r>
    </w:p>
    <w:p>
      <w:pPr>
        <w:pStyle w:val="Normal"/>
        <w:spacing w:lineRule="auto" w:line="24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Heitor Antonio Maia da Silva Dores</w:t>
      </w:r>
    </w:p>
    <w:p>
      <w:pPr>
        <w:pStyle w:val="Normal"/>
        <w:spacing w:lineRule="auto" w:line="24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Raul Wanderley Gradim</w:t>
      </w:r>
    </w:p>
    <w:p>
      <w:pPr>
        <w:pStyle w:val="Normal"/>
        <w:spacing w:lineRule="auto" w:line="240"/>
        <w:rPr>
          <w:rFonts w:eastAsia="Arial Unicode MS" w:cs="Calibri"/>
          <w:b/>
          <w:b/>
        </w:rPr>
      </w:pPr>
      <w:r>
        <w:rPr>
          <w:rFonts w:eastAsia="Arial Unicode MS" w:cs="Calibri"/>
          <w:b/>
        </w:rPr>
      </w:r>
    </w:p>
    <w:p>
      <w:pPr>
        <w:pStyle w:val="Normal"/>
        <w:spacing w:lineRule="auto" w:line="240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Alcenira Vanderlinde | Gerente Executiva</w:t>
      </w:r>
    </w:p>
    <w:p>
      <w:pPr>
        <w:pStyle w:val="Normal"/>
        <w:spacing w:lineRule="auto" w:line="240"/>
        <w:rPr>
          <w:rFonts w:eastAsia="Arial Unicode MS" w:cs="Calibri"/>
          <w:b/>
          <w:b/>
        </w:rPr>
      </w:pPr>
      <w:r>
        <w:rPr>
          <w:rFonts w:eastAsia="Arial Unicode MS" w:cs="Calibri"/>
          <w:b/>
        </w:rPr>
      </w:r>
    </w:p>
    <w:p>
      <w:pPr>
        <w:pStyle w:val="Normal"/>
        <w:spacing w:lineRule="auto" w:line="240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Coordenação e Elaboração</w:t>
      </w:r>
    </w:p>
    <w:p>
      <w:pPr>
        <w:pStyle w:val="Normal"/>
        <w:spacing w:lineRule="auto" w:line="24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Gerência Planejamento e Gestão Estratégica</w:t>
      </w:r>
    </w:p>
    <w:p>
      <w:pPr>
        <w:pStyle w:val="Normal"/>
        <w:spacing w:lineRule="auto" w:line="240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Equipe de Elaboração</w:t>
      </w:r>
    </w:p>
    <w:p>
      <w:pPr>
        <w:pStyle w:val="Normal"/>
        <w:spacing w:lineRule="auto" w:line="240"/>
        <w:ind w:right="-2" w:hanging="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Luiz Antonio Poletto</w:t>
        <w:tab/>
        <w:tab/>
        <w:t>| Gerente de Planejamento e Gestão Estratégica</w:t>
      </w:r>
    </w:p>
    <w:p>
      <w:pPr>
        <w:pStyle w:val="Normal"/>
        <w:spacing w:lineRule="auto" w:line="24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Flávia Rios Costa</w:t>
        <w:tab/>
        <w:tab/>
        <w:t>| Analista Técnica</w:t>
      </w:r>
    </w:p>
    <w:p>
      <w:pPr>
        <w:pStyle w:val="Normal"/>
        <w:spacing w:lineRule="auto" w:line="24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Marcos Cristino de Oliveira</w:t>
        <w:tab/>
        <w:t>| Analista Técnico</w:t>
      </w:r>
    </w:p>
    <w:p>
      <w:pPr>
        <w:pStyle w:val="Normal"/>
        <w:spacing w:lineRule="auto" w:line="24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Tania Mara C. Daldegan</w:t>
        <w:tab/>
        <w:t xml:space="preserve">| Analista Técnica </w:t>
      </w:r>
    </w:p>
    <w:p>
      <w:pPr>
        <w:pStyle w:val="Normal"/>
        <w:spacing w:lineRule="auto" w:line="24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Zaíle Sousa das Chagas</w:t>
        <w:tab/>
        <w:t>| Analista Técnica</w:t>
      </w:r>
    </w:p>
    <w:p>
      <w:pPr>
        <w:pStyle w:val="Normal"/>
        <w:spacing w:lineRule="auto" w:line="24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Lyzandra Dias T. de Paula</w:t>
        <w:tab/>
        <w:t xml:space="preserve">| Estagiária                             </w:t>
      </w:r>
      <w:r>
        <w:rPr>
          <w:sz w:val="24"/>
          <w:szCs w:val="24"/>
        </w:rPr>
        <w:t>Brasília, 29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de julho de 2021.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Heading"/>
            <w:rPr>
              <w:vanish/>
            </w:rPr>
          </w:pPr>
          <w:r>
            <w:rPr/>
            <w:t>Sumário</w:t>
          </w:r>
        </w:p>
        <w:p>
          <w:pPr>
            <w:pStyle w:val="Sumrio1"/>
            <w:rPr>
              <w:rFonts w:eastAsia="" w:cs="" w:cstheme="minorBidi" w:eastAsiaTheme="minorEastAsia"/>
              <w:b w:val="false"/>
              <w:b w:val="false"/>
              <w:bCs w:val="false"/>
              <w:caps w:val="false"/>
              <w:smallCaps w:val="false"/>
              <w:sz w:val="22"/>
              <w:szCs w:val="22"/>
              <w:lang w:eastAsia="pt-BR"/>
            </w:rPr>
          </w:pPr>
          <w:r>
            <w:fldChar w:fldCharType="begin"/>
          </w:r>
          <w:r>
            <w:rPr>
              <w:webHidden/>
              <w:rStyle w:val="Vnculodendice"/>
            </w:rPr>
            <w:instrText> TOC \z \o "1-3" \u \h</w:instrText>
          </w:r>
          <w:r>
            <w:rPr>
              <w:webHidden/>
              <w:rStyle w:val="Vnculodendice"/>
            </w:rPr>
            <w:fldChar w:fldCharType="separate"/>
          </w:r>
          <w:hyperlink w:anchor="_Toc78546290">
            <w:bookmarkStart w:id="0" w:name="_Hlk78546869"/>
            <w:r>
              <w:rPr>
                <w:webHidden/>
                <w:rStyle w:val="Vnculodendice"/>
              </w:rPr>
              <w:t>ÍNDICE QUADROS E ANEXOS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_Toc78546290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1"/>
            <w:rPr>
              <w:rFonts w:eastAsia="" w:cs="" w:cstheme="minorBidi" w:eastAsiaTheme="minorEastAsia"/>
              <w:b w:val="false"/>
              <w:b w:val="false"/>
              <w:bCs w:val="false"/>
              <w:caps w:val="false"/>
              <w:smallCaps w:val="false"/>
              <w:sz w:val="22"/>
              <w:szCs w:val="22"/>
              <w:lang w:eastAsia="pt-BR"/>
            </w:rPr>
          </w:pPr>
          <w:hyperlink w:anchor="_Toc78546291">
            <w:r>
              <w:rPr>
                <w:webHidden/>
                <w:rStyle w:val="Vnculodendice"/>
                <w:rFonts w:eastAsia="Arial Unicode MS"/>
              </w:rPr>
              <w:t>INTRODUÇÃO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_Toc78546291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1"/>
            <w:rPr>
              <w:rFonts w:eastAsia="" w:cs="" w:cstheme="minorBidi" w:eastAsiaTheme="minorEastAsia"/>
              <w:b w:val="false"/>
              <w:b w:val="false"/>
              <w:bCs w:val="false"/>
              <w:caps w:val="false"/>
              <w:smallCaps w:val="false"/>
              <w:sz w:val="22"/>
              <w:szCs w:val="22"/>
              <w:lang w:eastAsia="pt-BR"/>
            </w:rPr>
          </w:pPr>
          <w:hyperlink w:anchor="_Toc78546292">
            <w:r>
              <w:rPr>
                <w:webHidden/>
                <w:rStyle w:val="Vnculodendice"/>
              </w:rPr>
              <w:t>1.</w:t>
            </w:r>
            <w:r>
              <w:rPr>
                <w:rStyle w:val="Vnculodendice"/>
                <w:rFonts w:eastAsia="" w:cs="" w:cstheme="minorBidi" w:eastAsiaTheme="minorEastAsia"/>
                <w:b w:val="false"/>
                <w:bCs w:val="false"/>
                <w:caps w:val="false"/>
                <w:smallCaps w:val="false"/>
                <w:sz w:val="22"/>
                <w:szCs w:val="22"/>
                <w:lang w:eastAsia="pt-BR"/>
              </w:rPr>
              <w:tab/>
            </w:r>
            <w:r>
              <w:rPr>
                <w:rStyle w:val="Vnculodendice"/>
              </w:rPr>
              <w:t>SISTEMÁTICA DE ELABORAÇÃO DA REPROGRAMAÇÃO DO PLANO DE AÇÃO E ORÇAMENTO DO CAU – EXERCÍCIO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_Toc78546292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2"/>
            <w:tabs>
              <w:tab w:val="clear" w:pos="708"/>
              <w:tab w:val="left" w:pos="880" w:leader="none"/>
              <w:tab w:val="right" w:pos="9060" w:leader="dot"/>
            </w:tabs>
            <w:rPr>
              <w:rFonts w:eastAsia="" w:cs="" w:cstheme="minorBidi" w:eastAsiaTheme="minorEastAsia"/>
              <w:caps w:val="false"/>
              <w:smallCaps w:val="false"/>
              <w:sz w:val="22"/>
              <w:szCs w:val="22"/>
              <w:lang w:eastAsia="pt-BR"/>
            </w:rPr>
          </w:pPr>
          <w:hyperlink w:anchor="_Toc78546293">
            <w:r>
              <w:rPr>
                <w:webHidden/>
                <w:rStyle w:val="Vnculodendice"/>
              </w:rPr>
              <w:t>1.1</w:t>
            </w:r>
            <w:r>
              <w:rPr>
                <w:rStyle w:val="Vnculodendice"/>
                <w:rFonts w:eastAsia="" w:cs="" w:cstheme="minorBidi" w:eastAsiaTheme="minorEastAsia"/>
                <w:caps w:val="false"/>
                <w:smallCaps w:val="false"/>
                <w:sz w:val="22"/>
                <w:szCs w:val="22"/>
                <w:lang w:eastAsia="pt-BR"/>
              </w:rPr>
              <w:tab/>
            </w:r>
            <w:r>
              <w:rPr>
                <w:rStyle w:val="Vnculodendice"/>
              </w:rPr>
              <w:t>Cenário de Recursos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_Toc78546293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left" w:pos="1320" w:leader="none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294">
            <w:r>
              <w:rPr>
                <w:webHidden/>
                <w:rStyle w:val="Vnculodendice"/>
              </w:rPr>
              <w:t>1.1.1.</w:t>
            </w:r>
            <w:r>
              <w:rPr>
                <w:rStyle w:val="Vnculodendice"/>
                <w:rFonts w:eastAsia="" w:cs="" w:cstheme="minorBidi" w:eastAsiaTheme="minorEastAsia"/>
                <w:i w:val="false"/>
                <w:iCs w:val="false"/>
                <w:sz w:val="22"/>
                <w:szCs w:val="22"/>
                <w:lang w:eastAsia="pt-BR"/>
              </w:rPr>
              <w:tab/>
            </w:r>
            <w:r>
              <w:rPr>
                <w:rStyle w:val="Vnculodendice"/>
              </w:rPr>
              <w:t>Receitas de Arrecadação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_Toc78546294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left" w:pos="1320" w:leader="none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295">
            <w:r>
              <w:rPr>
                <w:webHidden/>
                <w:rStyle w:val="Vnculodendice"/>
              </w:rPr>
              <w:t>1.1.2.</w:t>
            </w:r>
            <w:r>
              <w:rPr>
                <w:rStyle w:val="Vnculodendice"/>
                <w:rFonts w:eastAsia="" w:cs="" w:cstheme="minorBidi" w:eastAsiaTheme="minorEastAsia"/>
                <w:i w:val="false"/>
                <w:iCs w:val="false"/>
                <w:sz w:val="22"/>
                <w:szCs w:val="22"/>
                <w:lang w:eastAsia="pt-BR"/>
              </w:rPr>
              <w:tab/>
            </w:r>
            <w:r>
              <w:rPr>
                <w:rStyle w:val="Vnculodendice"/>
              </w:rPr>
              <w:t>Receita de Exercícios Anteriores (Superávit Financeiro)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_Toc78546295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296">
            <w:r>
              <w:rPr>
                <w:webHidden/>
                <w:rStyle w:val="Vnculodendice"/>
              </w:rPr>
              <w:t>Destinação de Fundo de Apoio Financeiro aos CAU/UF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_Toc78546296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1"/>
            <w:rPr>
              <w:rFonts w:eastAsia="" w:cs="" w:cstheme="minorBidi" w:eastAsiaTheme="minorEastAsia"/>
              <w:b w:val="false"/>
              <w:b w:val="false"/>
              <w:bCs w:val="false"/>
              <w:caps w:val="false"/>
              <w:smallCaps w:val="false"/>
              <w:sz w:val="22"/>
              <w:szCs w:val="22"/>
              <w:lang w:eastAsia="pt-BR"/>
            </w:rPr>
          </w:pPr>
          <w:hyperlink w:anchor="_Toc78546297">
            <w:r>
              <w:rPr>
                <w:webHidden/>
                <w:rStyle w:val="Vnculodendice"/>
              </w:rPr>
              <w:t>2.</w:t>
            </w:r>
            <w:r>
              <w:rPr>
                <w:rStyle w:val="Vnculodendice"/>
                <w:rFonts w:eastAsia="" w:cs="" w:cstheme="minorBidi" w:eastAsiaTheme="minorEastAsia"/>
                <w:b w:val="false"/>
                <w:bCs w:val="false"/>
                <w:caps w:val="false"/>
                <w:smallCaps w:val="false"/>
                <w:sz w:val="22"/>
                <w:szCs w:val="22"/>
                <w:lang w:eastAsia="pt-BR"/>
              </w:rPr>
              <w:tab/>
            </w:r>
            <w:r>
              <w:rPr>
                <w:rStyle w:val="Vnculodendice"/>
              </w:rPr>
              <w:t>LIMITES DE APLICAÇÃO DE RECURSOS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_Toc78546297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2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caps w:val="false"/>
              <w:smallCaps w:val="false"/>
              <w:sz w:val="22"/>
              <w:szCs w:val="22"/>
              <w:lang w:eastAsia="pt-BR"/>
            </w:rPr>
          </w:pPr>
          <w:hyperlink w:anchor="_Toc78546298">
            <w:r>
              <w:rPr>
                <w:webHidden/>
                <w:rStyle w:val="Vnculodendice"/>
              </w:rPr>
              <w:t>2.1 Alocação de Recursos nos Objetivos Estratégicos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_Toc78546298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2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caps w:val="false"/>
              <w:smallCaps w:val="false"/>
              <w:sz w:val="22"/>
              <w:szCs w:val="22"/>
              <w:lang w:eastAsia="pt-BR"/>
            </w:rPr>
          </w:pPr>
          <w:hyperlink w:anchor="_Toc78546299">
            <w:r>
              <w:rPr>
                <w:webHidden/>
                <w:rStyle w:val="Vnculodendice"/>
              </w:rPr>
              <w:t>2.2 Destinação de Recursos para o Fundo de Apoio Financeiro aos CAU/UF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_Toc78546299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22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2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caps w:val="false"/>
              <w:smallCaps w:val="false"/>
              <w:sz w:val="22"/>
              <w:szCs w:val="22"/>
              <w:lang w:eastAsia="pt-BR"/>
            </w:rPr>
          </w:pPr>
          <w:hyperlink w:anchor="_Toc78546300">
            <w:r>
              <w:rPr>
                <w:webHidden/>
                <w:rStyle w:val="Vnculodendice"/>
              </w:rPr>
              <w:t>2.3 Destinação de Recursos para o Centro de Serviços Compartilhados dos Conselhos de Arquitetura e Urbanismo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_Toc78546300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left" w:pos="1320" w:leader="none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01">
            <w:r>
              <w:rPr>
                <w:webHidden/>
                <w:rStyle w:val="Vnculodendice"/>
              </w:rPr>
              <w:t>2.3.1.</w:t>
            </w:r>
            <w:r>
              <w:rPr>
                <w:rStyle w:val="Vnculodendice"/>
                <w:rFonts w:eastAsia="" w:cs="" w:cstheme="minorBidi" w:eastAsiaTheme="minorEastAsia"/>
                <w:i w:val="false"/>
                <w:iCs w:val="false"/>
                <w:sz w:val="22"/>
                <w:szCs w:val="22"/>
                <w:lang w:eastAsia="pt-BR"/>
              </w:rPr>
              <w:tab/>
            </w:r>
            <w:r>
              <w:rPr>
                <w:rStyle w:val="Vnculodendice"/>
              </w:rPr>
              <w:t>Recursos para “encontro de contas do CSC referente ao TAQ e 0800/4007 – exercício de 2020”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_Toc78546301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2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caps w:val="false"/>
              <w:smallCaps w:val="false"/>
              <w:sz w:val="22"/>
              <w:szCs w:val="22"/>
              <w:lang w:eastAsia="pt-BR"/>
            </w:rPr>
          </w:pPr>
          <w:hyperlink w:anchor="_Toc78546302">
            <w:r>
              <w:rPr>
                <w:webHidden/>
                <w:rStyle w:val="Vnculodendice"/>
              </w:rPr>
              <w:t>2.4 Ressarcimento de Taxas Bancárias aos CAU/UF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_Toc78546302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27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2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caps w:val="false"/>
              <w:smallCaps w:val="false"/>
              <w:sz w:val="22"/>
              <w:szCs w:val="22"/>
              <w:lang w:eastAsia="pt-BR"/>
            </w:rPr>
          </w:pPr>
          <w:hyperlink w:anchor="_Toc78546303">
            <w:r>
              <w:rPr>
                <w:webHidden/>
                <w:rStyle w:val="Vnculodendice"/>
              </w:rPr>
              <w:t>2.5 Destinação de Recursos para Reserva de Contingência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_Toc78546303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28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2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caps w:val="false"/>
              <w:smallCaps w:val="false"/>
              <w:sz w:val="22"/>
              <w:szCs w:val="22"/>
              <w:lang w:eastAsia="pt-BR"/>
            </w:rPr>
          </w:pPr>
          <w:hyperlink w:anchor="_Toc78546304">
            <w:r>
              <w:rPr>
                <w:webHidden/>
                <w:rStyle w:val="Vnculodendice"/>
              </w:rPr>
              <w:t>2.6 Focando Grupos de Despesas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_Toc78546304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28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1"/>
            <w:rPr>
              <w:rFonts w:eastAsia="" w:cs="" w:cstheme="minorBidi" w:eastAsiaTheme="minorEastAsia"/>
              <w:b w:val="false"/>
              <w:b w:val="false"/>
              <w:bCs w:val="false"/>
              <w:caps w:val="false"/>
              <w:smallCaps w:val="false"/>
              <w:sz w:val="22"/>
              <w:szCs w:val="22"/>
              <w:lang w:eastAsia="pt-BR"/>
            </w:rPr>
          </w:pPr>
          <w:hyperlink w:anchor="_Toc78546305">
            <w:r>
              <w:rPr>
                <w:webHidden/>
                <w:rStyle w:val="Vnculodendice"/>
                <w:rFonts w:eastAsia="Arial Unicode MS"/>
              </w:rPr>
              <w:t>3.</w:t>
            </w:r>
            <w:r>
              <w:rPr>
                <w:rStyle w:val="Vnculodendice"/>
                <w:rFonts w:eastAsia="" w:cs="" w:cstheme="minorBidi" w:eastAsiaTheme="minorEastAsia"/>
                <w:b w:val="false"/>
                <w:bCs w:val="false"/>
                <w:caps w:val="false"/>
                <w:smallCaps w:val="false"/>
                <w:sz w:val="22"/>
                <w:szCs w:val="22"/>
                <w:lang w:eastAsia="pt-BR"/>
              </w:rPr>
              <w:tab/>
            </w:r>
            <w:r>
              <w:rPr>
                <w:rStyle w:val="Vnculodendice"/>
              </w:rPr>
              <w:t>SISTEMÁTICA ELABORAÇÃO DA REPROGRAMAÇÃO DO PLANO DE AÇÃO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_Toc78546305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30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1"/>
            <w:rPr>
              <w:rFonts w:eastAsia="" w:cs="" w:cstheme="minorBidi" w:eastAsiaTheme="minorEastAsia"/>
              <w:b w:val="false"/>
              <w:b w:val="false"/>
              <w:bCs w:val="false"/>
              <w:caps w:val="false"/>
              <w:smallCaps w:val="false"/>
              <w:sz w:val="22"/>
              <w:szCs w:val="22"/>
              <w:lang w:eastAsia="pt-BR"/>
            </w:rPr>
          </w:pPr>
          <w:hyperlink w:anchor="_Toc78546306">
            <w:r>
              <w:rPr>
                <w:webHidden/>
                <w:rStyle w:val="Vnculodendice"/>
                <w:rFonts w:eastAsia="Arial Unicode MS"/>
              </w:rPr>
              <w:t>O CAU/BR e os CAU/UF elaborarão a proposta de Reprogramação de seus Planos de Ação e Orçamento, contendo as seguintes peças: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_Toc78546306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30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2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caps w:val="false"/>
              <w:smallCaps w:val="false"/>
              <w:sz w:val="22"/>
              <w:szCs w:val="22"/>
              <w:lang w:eastAsia="pt-BR"/>
            </w:rPr>
          </w:pPr>
          <w:hyperlink w:anchor="_Toc78546307">
            <w:r>
              <w:rPr>
                <w:webHidden/>
                <w:rStyle w:val="Vnculodendice"/>
              </w:rPr>
              <w:t>3.1 Da Disponibilização e da Aprovação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_Toc78546307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31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2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caps w:val="false"/>
              <w:smallCaps w:val="false"/>
              <w:sz w:val="22"/>
              <w:szCs w:val="22"/>
              <w:lang w:eastAsia="pt-BR"/>
            </w:rPr>
          </w:pPr>
          <w:hyperlink w:anchor="_Toc78546308">
            <w:r>
              <w:rPr>
                <w:webHidden/>
                <w:rStyle w:val="Vnculodendice"/>
              </w:rPr>
              <w:t>3.2 Da Consolidação da Reprogramação do Plano de Ação e Orçamento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_Toc78546308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31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1"/>
            <w:rPr>
              <w:rFonts w:eastAsia="" w:cs="" w:cstheme="minorBidi" w:eastAsiaTheme="minorEastAsia"/>
              <w:b w:val="false"/>
              <w:b w:val="false"/>
              <w:bCs w:val="false"/>
              <w:caps w:val="false"/>
              <w:smallCaps w:val="false"/>
              <w:sz w:val="22"/>
              <w:szCs w:val="22"/>
              <w:lang w:eastAsia="pt-BR"/>
            </w:rPr>
          </w:pPr>
          <w:hyperlink w:anchor="_Toc78546309">
            <w:r>
              <w:rPr>
                <w:webHidden/>
                <w:rStyle w:val="Vnculodendice"/>
              </w:rPr>
              <w:t>4.</w:t>
            </w:r>
            <w:r>
              <w:rPr>
                <w:rStyle w:val="Vnculodendice"/>
                <w:rFonts w:eastAsia="" w:cs="" w:cstheme="minorBidi" w:eastAsiaTheme="minorEastAsia"/>
                <w:b w:val="false"/>
                <w:bCs w:val="false"/>
                <w:caps w:val="false"/>
                <w:smallCaps w:val="false"/>
                <w:sz w:val="22"/>
                <w:szCs w:val="22"/>
                <w:lang w:eastAsia="pt-BR"/>
              </w:rPr>
              <w:tab/>
            </w:r>
            <w:r>
              <w:rPr>
                <w:rStyle w:val="Vnculodendice"/>
              </w:rPr>
              <w:t>CALENDÁRIO DA REPROGRAMAÇÃO DO PLANO DE AÇÃO E ORÇAMENTO DO CAU – EXERCÍCIO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_Toc78546309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32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1"/>
            <w:rPr>
              <w:rFonts w:eastAsia="" w:cs="" w:cstheme="minorBidi" w:eastAsiaTheme="minorEastAsia"/>
              <w:b w:val="false"/>
              <w:b w:val="false"/>
              <w:bCs w:val="false"/>
              <w:caps w:val="false"/>
              <w:smallCaps w:val="false"/>
              <w:sz w:val="22"/>
              <w:szCs w:val="22"/>
              <w:lang w:eastAsia="pt-BR"/>
            </w:rPr>
          </w:pPr>
          <w:hyperlink w:anchor="_Toc78546310">
            <w:r>
              <w:rPr>
                <w:webHidden/>
                <w:rStyle w:val="Vnculodendice"/>
              </w:rPr>
              <w:t>5.</w:t>
            </w:r>
            <w:r>
              <w:rPr>
                <w:rStyle w:val="Vnculodendice"/>
                <w:rFonts w:eastAsia="" w:cs="" w:cstheme="minorBidi" w:eastAsiaTheme="minorEastAsia"/>
                <w:b w:val="false"/>
                <w:bCs w:val="false"/>
                <w:caps w:val="false"/>
                <w:smallCaps w:val="false"/>
                <w:sz w:val="22"/>
                <w:szCs w:val="22"/>
                <w:lang w:eastAsia="pt-BR"/>
              </w:rPr>
              <w:tab/>
            </w:r>
            <w:r>
              <w:rPr>
                <w:rStyle w:val="Vnculodendice"/>
              </w:rPr>
              <w:t>ANEXOS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_Toc78546310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33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11">
            <w:r>
              <w:rPr>
                <w:webHidden/>
                <w:rStyle w:val="Vnculodendice"/>
              </w:rPr>
              <w:t>ANEXO I – CAU– Posição de arquitetos e urbanistas, empresas e RRT – Reprogramação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_Toc78546311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35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12">
            <w:r>
              <w:rPr>
                <w:webHidden/>
                <w:rStyle w:val="Vnculodendice"/>
              </w:rPr>
              <w:t>ANEXO II – Reestimativa da Receita Total do CAU – Reprogramação Total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_Toc78546312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37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13">
            <w:r>
              <w:rPr>
                <w:webHidden/>
                <w:rStyle w:val="Vnculodendice"/>
              </w:rPr>
              <w:t>ANEXO III – Comparativo da Receita Total do CAU (100%) – Reprogramação x Programação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_Toc78546313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39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14">
            <w:r>
              <w:rPr>
                <w:webHidden/>
                <w:rStyle w:val="Vnculodendice"/>
              </w:rPr>
              <w:t>ANEXO III.I – Comparativo da Receita Total do CAU (100%) – Reprogramação x Programação 2020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_Toc78546314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40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15">
            <w:r>
              <w:rPr>
                <w:webHidden/>
                <w:rStyle w:val="Vnculodendice"/>
              </w:rPr>
              <w:t>ANEXO IV – Reestimativa da Receita dos CAU/UF e CAU/BR – Reprogramação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_Toc78546315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42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16">
            <w:r>
              <w:rPr>
                <w:webHidden/>
                <w:rStyle w:val="Vnculodendice"/>
              </w:rPr>
              <w:t>ANEXO V – Reestimativa de Anuidades de Pessoa Física – Reprogramação 2021 (Quantitativo)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_Toc78546316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44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17">
            <w:r>
              <w:rPr>
                <w:webHidden/>
                <w:rStyle w:val="Vnculodendice"/>
              </w:rPr>
              <w:t>ANEXO V.I – Reestimativa de Anuidades de Pessoa Física – Reprogramação 2021 (Valores em R$ 1,00)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_Toc78546317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45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18">
            <w:r>
              <w:rPr>
                <w:webHidden/>
                <w:rStyle w:val="Vnculodendice"/>
              </w:rPr>
              <w:t>ANEXO VI – Reestimativa de Anuidades de Pessoa Jurídica – Reprogramação 2021– (Quantitativo)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_Toc78546318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47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19">
            <w:r>
              <w:rPr>
                <w:webHidden/>
                <w:rStyle w:val="Vnculodendice"/>
              </w:rPr>
              <w:t>ANEXO VI.I - Reestimativa de Anuidades de Pessoa Jurídica – Reprogramação do Exercício 2021 – (Valores em R$ 1,00)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_Toc78546319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48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20">
            <w:r>
              <w:rPr>
                <w:webHidden/>
                <w:rStyle w:val="Vnculodendice"/>
              </w:rPr>
              <w:t>ANEXO VI.II - Reestimativa de Anuidades de Pessoa Jurídica – Reprogramação do Exercício 2021 – (Valores em R$ 1,00)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_Toc78546320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49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21">
            <w:r>
              <w:rPr>
                <w:webHidden/>
                <w:rStyle w:val="Vnculodendice"/>
              </w:rPr>
              <w:t>ANEXO VII – Reestimativa da Receita de RRT TOTAL – Reprogramação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_Toc78546321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51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22">
            <w:r>
              <w:rPr>
                <w:webHidden/>
                <w:rStyle w:val="Vnculodendice"/>
              </w:rPr>
              <w:t>ANEXO VIII – Reestimativa da Receita com Taxas e Multas – Reprogramação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_Toc78546322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53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23">
            <w:r>
              <w:rPr>
                <w:webHidden/>
                <w:rStyle w:val="Vnculodendice"/>
              </w:rPr>
              <w:t>ANEXO IX – Comparativo da Receita dos CAU/UF (80%) – Reprogramação Total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_Toc78546323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55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24">
            <w:r>
              <w:rPr>
                <w:webHidden/>
                <w:rStyle w:val="Vnculodendice"/>
              </w:rPr>
              <w:t>ANEXO IX.I – Comparativo da Receita dos CAU/UF (80%) Anuidades e Exercícios anteriores – Reprogramação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_Toc78546324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56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25">
            <w:r>
              <w:rPr>
                <w:webHidden/>
                <w:rStyle w:val="Vnculodendice"/>
              </w:rPr>
              <w:t>ANEXO X – Fundo de Apoio – Aporte Financeiro (Reprogramação 2021)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_Toc78546325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58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26">
            <w:r>
              <w:rPr>
                <w:webHidden/>
                <w:rStyle w:val="Vnculodendice"/>
              </w:rPr>
              <w:t>ANEXO X.I – Fundo de Apoio – Exercício 2021 – Destinação dos Recursos por CAU/Básico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_Toc78546326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59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27">
            <w:r>
              <w:rPr>
                <w:webHidden/>
                <w:rStyle w:val="Vnculodendice"/>
                <w:rFonts w:eastAsia="Arial Unicode MS" w:cs="" w:ascii="Calibri Light" w:hAnsi="Calibri Light" w:asciiTheme="majorHAnsi" w:cstheme="majorBidi" w:hAnsiTheme="majorHAnsi"/>
              </w:rPr>
              <w:t>ANEXO XI – Demonstrativo da Participação dos CAU/UF e do CAU/BR nas Despesas do Centro de Serviços Compartilhados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_Toc78546327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60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28">
            <w:r>
              <w:rPr>
                <w:webHidden/>
                <w:rStyle w:val="Vnculodendice"/>
              </w:rPr>
              <w:t>Fundo ANEXO XI – Demonstrativo da Participação dos CAU/UF e do CAU/BR nas Despesas do Centro de Serviços Compartilhados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_Toc78546328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61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29">
            <w:r>
              <w:rPr>
                <w:webHidden/>
                <w:rStyle w:val="Vnculodendice"/>
              </w:rPr>
              <w:t>ANEXO XI.I – Demonstrativo da Participação dos CAU/UF e do CAU/BR nas Despesas do Centro de Serviços Compartilhados (Serviço Telefônico de Teleatendimento 0800/4007)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_Toc78546329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62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30">
            <w:r>
              <w:rPr>
                <w:webHidden/>
                <w:rStyle w:val="Vnculodendice"/>
              </w:rPr>
              <w:t>ANEXO XI.II – Demonstrativo de Encontro de Contas - CSC – TAQ e 0800 – exercício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_Toc78546330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63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31">
            <w:r>
              <w:rPr>
                <w:webHidden/>
                <w:rStyle w:val="Vnculodendice"/>
              </w:rPr>
              <w:t>ANEXO XI.III – Demonstrativo do Centro de Serviços Compartilhados – Demais Serviços Essenciais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_Toc78546331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64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32">
            <w:r>
              <w:rPr>
                <w:webHidden/>
                <w:rStyle w:val="Vnculodendice"/>
              </w:rPr>
              <w:t>ANEXO XII – Despesas do Centro de Serviços Compartilhados (Serviços por Adesão - SISCAF)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_Toc78546332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66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33">
            <w:r>
              <w:rPr>
                <w:webHidden/>
                <w:rStyle w:val="Vnculodendice"/>
              </w:rPr>
              <w:t>ANEXO XIII– Ressarcimento de taxas bancárias aos CAU/UF, correspondente a 20% do total previsto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_Toc78546333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68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34">
            <w:r>
              <w:rPr>
                <w:webHidden/>
                <w:rStyle w:val="Vnculodendice"/>
              </w:rPr>
              <w:t>ANEXO XIV.I - Indicadores Institucionais e de Resultados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_Toc78546334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70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78546335">
            <w:r>
              <w:rPr>
                <w:webHidden/>
                <w:rStyle w:val="Vnculodendice"/>
                <w:rFonts w:eastAsia="Arial Unicode MS"/>
              </w:rPr>
              <w:t xml:space="preserve">ANEXO XV – </w:t>
            </w:r>
            <w:r>
              <w:rPr>
                <w:rStyle w:val="Vnculodendice"/>
              </w:rPr>
              <w:t>Modelo para Elaboração da Reprogramação do Plano de Ação e Orçamento – Reprogramação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_Toc78546335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76</w:t>
            </w:r>
            <w:r>
              <w:rPr>
                <w:webHidden/>
              </w:rPr>
              <w:fldChar w:fldCharType="end"/>
            </w:r>
          </w:hyperlink>
          <w:bookmarkEnd w:id="0"/>
        </w:p>
        <w:p>
          <w:pPr>
            <w:pStyle w:val="Normal"/>
            <w:rPr/>
          </w:pPr>
          <w:r>
            <w:rPr/>
          </w:r>
          <w:r>
            <w:rPr/>
            <w:fldChar w:fldCharType="end"/>
          </w:r>
        </w:p>
      </w:sdtContent>
    </w:sdt>
    <w:p>
      <w:pPr>
        <w:pStyle w:val="Normal"/>
        <w:rPr>
          <w:lang w:eastAsia="pt-BR"/>
        </w:rPr>
      </w:pPr>
      <w:r>
        <w:rPr>
          <w:lang w:eastAsia="pt-BR"/>
        </w:rPr>
      </w:r>
      <w:r>
        <w:br w:type="page"/>
      </w:r>
    </w:p>
    <w:p>
      <w:pPr>
        <w:pStyle w:val="Ttulo1"/>
        <w:spacing w:lineRule="auto" w:line="276"/>
        <w:jc w:val="both"/>
        <w:rPr>
          <w:sz w:val="20"/>
          <w:szCs w:val="20"/>
        </w:rPr>
      </w:pPr>
      <w:bookmarkStart w:id="1" w:name="_Toc78546290"/>
      <w:bookmarkStart w:id="2" w:name="_Toc45579762"/>
      <w:bookmarkStart w:id="3" w:name="_Toc45579492"/>
      <w:bookmarkStart w:id="4" w:name="_Toc45573323"/>
      <w:bookmarkStart w:id="5" w:name="_Toc45572858"/>
      <w:bookmarkStart w:id="6" w:name="_Toc45571693"/>
      <w:bookmarkStart w:id="7" w:name="_Toc45563853"/>
      <w:bookmarkStart w:id="8" w:name="_Toc456632014"/>
      <w:bookmarkStart w:id="9" w:name="_Toc485391700"/>
      <w:bookmarkStart w:id="10" w:name="_Toc485394106"/>
      <w:bookmarkStart w:id="11" w:name="_Toc485395018"/>
      <w:bookmarkStart w:id="12" w:name="_Toc485637456"/>
      <w:bookmarkStart w:id="13" w:name="_Toc485638366"/>
      <w:bookmarkStart w:id="14" w:name="_Toc516740787"/>
      <w:bookmarkStart w:id="15" w:name="_Toc517110686"/>
      <w:bookmarkStart w:id="16" w:name="_Toc517111537"/>
      <w:bookmarkStart w:id="17" w:name="_Toc517111660"/>
      <w:bookmarkStart w:id="18" w:name="_Toc517111939"/>
      <w:bookmarkStart w:id="19" w:name="_Toc517188796"/>
      <w:bookmarkStart w:id="20" w:name="_Toc517194130"/>
      <w:bookmarkStart w:id="21" w:name="_Toc518381381"/>
      <w:bookmarkStart w:id="22" w:name="_Toc12120521"/>
      <w:bookmarkStart w:id="23" w:name="_Toc12185165"/>
      <w:bookmarkStart w:id="24" w:name="_Toc12204951"/>
      <w:bookmarkStart w:id="25" w:name="_Toc12224839"/>
      <w:bookmarkStart w:id="26" w:name="_Toc12224981"/>
      <w:bookmarkStart w:id="27" w:name="_Toc12225186"/>
      <w:bookmarkStart w:id="28" w:name="_Toc45533883"/>
      <w:r>
        <w:rPr>
          <w:color w:val="006666"/>
        </w:rPr>
        <w:t>ÍNDICE QUADROS E ANEXOS</w:t>
      </w:r>
      <w:bookmarkStart w:id="29" w:name="_Hlk4556304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Sumrio1"/>
            <w:rPr>
              <w:rFonts w:eastAsia="" w:cs="" w:cstheme="minorBidi" w:eastAsiaTheme="minorEastAsia"/>
              <w:b w:val="false"/>
              <w:b w:val="false"/>
              <w:bCs w:val="false"/>
              <w:caps w:val="false"/>
              <w:smallCaps w:val="false"/>
              <w:sz w:val="22"/>
              <w:szCs w:val="22"/>
              <w:lang w:eastAsia="pt-BR"/>
            </w:rPr>
          </w:pPr>
          <w:r>
            <w:fldChar w:fldCharType="begin"/>
          </w:r>
          <w:r>
            <w:rPr>
              <w:webHidden/>
              <w:rStyle w:val="Vnculodendice"/>
            </w:rPr>
            <w:instrText> TOC \z \o "1-3" \h</w:instrText>
          </w:r>
          <w:r>
            <w:rPr>
              <w:webHidden/>
              <w:rStyle w:val="Vnculodendice"/>
            </w:rPr>
            <w:fldChar w:fldCharType="separate"/>
          </w:r>
          <w:hyperlink w:anchor="_Toc45579767">
            <w:r>
              <w:rPr>
                <w:webHidden/>
                <w:rStyle w:val="Vnculodendice"/>
              </w:rPr>
              <w:t>Quadro 1. Valor de anuidades e RRT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_Toc45579767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1"/>
            <w:rPr>
              <w:rFonts w:eastAsia="" w:cs="" w:cstheme="minorBidi" w:eastAsiaTheme="minorEastAsia"/>
              <w:b w:val="false"/>
              <w:b w:val="false"/>
              <w:bCs w:val="false"/>
              <w:caps w:val="false"/>
              <w:smallCaps w:val="false"/>
              <w:sz w:val="22"/>
              <w:szCs w:val="22"/>
              <w:lang w:eastAsia="pt-BR"/>
            </w:rPr>
          </w:pPr>
          <w:hyperlink w:anchor="_Toc45579768">
            <w:r>
              <w:rPr>
                <w:webHidden/>
                <w:rStyle w:val="Vnculodendice"/>
              </w:rPr>
              <w:t>Quadro 2. Arquitetos e Urbanistas, Empresas e RRT - Programação X Reprogramação (Qtde)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_Toc45579768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1"/>
            <w:rPr>
              <w:rFonts w:eastAsia="" w:cs="" w:cstheme="minorBidi" w:eastAsiaTheme="minorEastAsia"/>
              <w:b w:val="false"/>
              <w:b w:val="false"/>
              <w:bCs w:val="false"/>
              <w:caps w:val="false"/>
              <w:smallCaps w:val="false"/>
              <w:sz w:val="22"/>
              <w:szCs w:val="22"/>
              <w:lang w:eastAsia="pt-BR"/>
            </w:rPr>
          </w:pPr>
          <w:hyperlink w:anchor="_Toc45579769">
            <w:r>
              <w:rPr>
                <w:webHidden/>
                <w:rStyle w:val="Vnculodendice"/>
              </w:rPr>
              <w:t>Quadro 3. Reestimativa das Receitas do CAU –Programação X Reprogramação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_Toc45579769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1"/>
            <w:rPr>
              <w:rFonts w:eastAsia="" w:cs="" w:cstheme="minorBidi" w:eastAsiaTheme="minorEastAsia"/>
              <w:b w:val="false"/>
              <w:b w:val="false"/>
              <w:bCs w:val="false"/>
              <w:caps w:val="false"/>
              <w:smallCaps w:val="false"/>
              <w:sz w:val="22"/>
              <w:szCs w:val="22"/>
              <w:lang w:eastAsia="pt-BR"/>
            </w:rPr>
          </w:pPr>
          <w:hyperlink w:anchor="_Toc45579770">
            <w:r>
              <w:rPr>
                <w:webHidden/>
                <w:rStyle w:val="Vnculodendice"/>
              </w:rPr>
              <w:t>Quadro 4. Reestimativa das receitas dos CAU/UF – Reprogramação X Programação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_Toc45579770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1"/>
            <w:rPr>
              <w:rFonts w:eastAsia="" w:cs="" w:cstheme="minorBidi" w:eastAsiaTheme="minorEastAsia"/>
              <w:b w:val="false"/>
              <w:b w:val="false"/>
              <w:bCs w:val="false"/>
              <w:caps w:val="false"/>
              <w:smallCaps w:val="false"/>
              <w:sz w:val="22"/>
              <w:szCs w:val="22"/>
              <w:lang w:eastAsia="pt-BR"/>
            </w:rPr>
          </w:pPr>
          <w:hyperlink w:anchor="_Toc45579786">
            <w:r>
              <w:rPr>
                <w:webHidden/>
                <w:rStyle w:val="Vnculodendice"/>
              </w:rPr>
              <w:t>ANEXOS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_Toc45579786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33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787">
            <w:r>
              <w:rPr>
                <w:webHidden/>
                <w:rStyle w:val="Vnculodendice"/>
              </w:rPr>
              <w:t>ANEXO I – CAU– Posição de arquitetos e urbanistas, empresas e RRT – Reprogramação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_Toc45579787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35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788">
            <w:r>
              <w:rPr>
                <w:webHidden/>
                <w:rStyle w:val="Vnculodendice"/>
              </w:rPr>
              <w:t>ANEXO II – Reestimativa da Receita Total do CAU – Reprogramação Total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_Toc45579788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37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789">
            <w:r>
              <w:rPr>
                <w:webHidden/>
                <w:rStyle w:val="Vnculodendice"/>
              </w:rPr>
              <w:t>ANEXO III – Comparativo da Receita Total do CAU (100%) – Reprogramação x Programação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_Toc45579789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39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790">
            <w:r>
              <w:rPr>
                <w:webHidden/>
                <w:rStyle w:val="Vnculodendice"/>
              </w:rPr>
              <w:t>ANEXO III.I – Comparativo da Receita Total do CAU (100%) – Reprogramação x Programação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_Toc45579790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40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791">
            <w:r>
              <w:rPr>
                <w:webHidden/>
                <w:rStyle w:val="Vnculodendice"/>
              </w:rPr>
              <w:t>ANEXO IV – Reestimativa da Receita dos CAU/UF e CAU/BR – Reprogramação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_Toc45579791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42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792">
            <w:r>
              <w:rPr>
                <w:webHidden/>
                <w:rStyle w:val="Vnculodendice"/>
              </w:rPr>
              <w:t>ANEXO V – Reestimativa de Anuidades de Pessoa Física – Reprogramação 2021 (Quantitativo)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_Toc45579792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44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793">
            <w:r>
              <w:rPr>
                <w:webHidden/>
                <w:rStyle w:val="Vnculodendice"/>
              </w:rPr>
              <w:t>ANEXO V.I – Reestimativa de Anuidades de Pessoa Física – Reprogramação 2021 (Valores em R$ 1,00)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_Toc45579793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45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794">
            <w:r>
              <w:rPr>
                <w:webHidden/>
                <w:rStyle w:val="Vnculodendice"/>
              </w:rPr>
              <w:t>ANEXO VI – Reestimativa de Anuidades de Pessoa Jurídica – Reprogramação 2021– (Quantitativo)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_Toc45579794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47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795">
            <w:r>
              <w:rPr>
                <w:webHidden/>
                <w:rStyle w:val="Vnculodendice"/>
              </w:rPr>
              <w:t>ANEXO VI.I - Reestimativa de Anuidades de Pessoa Jurídica – Reprogramação do Exercício 2021 – (Valores em R$ 1,00)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_Toc45579795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48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796">
            <w:r>
              <w:rPr>
                <w:webHidden/>
                <w:rStyle w:val="Vnculodendice"/>
              </w:rPr>
              <w:t>ANEXO VII – Reestimativa da Receita de RRT TOTAL – Reprogramação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_Toc45579796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51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797">
            <w:r>
              <w:rPr>
                <w:webHidden/>
                <w:rStyle w:val="Vnculodendice"/>
              </w:rPr>
              <w:t>ANEXO VIII – Reestimativa da Receita com Taxas e Multas – Reprogramação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_Toc45579797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53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798">
            <w:r>
              <w:rPr>
                <w:webHidden/>
                <w:rStyle w:val="Vnculodendice"/>
              </w:rPr>
              <w:t>ANEXO IX – Comparativo da Receita dos CAU/UF (80%) – Reprogramação Total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_Toc45579798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55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799">
            <w:r>
              <w:rPr>
                <w:webHidden/>
                <w:rStyle w:val="Vnculodendice"/>
              </w:rPr>
              <w:t>ANEXO IX.I – Comparativo da Receita dos CAU/UF (80%) Anuidades e Exercícios anteriores – Reprogramação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_Toc45579799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56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800">
            <w:r>
              <w:rPr>
                <w:webHidden/>
                <w:rStyle w:val="Vnculodendice"/>
              </w:rPr>
              <w:t>ANEXO X – Fundo de Apoio – Aporte Financeiro (Reprogramação 2021)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_Toc45579800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58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801">
            <w:r>
              <w:rPr>
                <w:webHidden/>
                <w:rStyle w:val="Vnculodendice"/>
              </w:rPr>
              <w:t>ANEXO X.I – Fundo de Apoio – Exercício 2021 – Destinação dos Recursos por CAU/Básico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_Toc45579801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59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802">
            <w:r>
              <w:rPr>
                <w:webHidden/>
                <w:rStyle w:val="Vnculodendice"/>
              </w:rPr>
              <w:t>ANEXO XI – Demonstrativo da Participação dos CAU/UF e do CAU/BR nas Despesas do Centro de Serviços Compartilhados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_Toc45579802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61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803">
            <w:r>
              <w:rPr>
                <w:webHidden/>
                <w:rStyle w:val="Vnculodendice"/>
              </w:rPr>
              <w:t>ANEXO XI.I – Demonstrativo da Participação dos CAU/UF e do CAU/BR nas Despesas do Centro de Serviços Compartilhados (Serviços Telefônico de Teleatendimento)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_Toc45579803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62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804">
            <w:r>
              <w:rPr>
                <w:webHidden/>
                <w:rStyle w:val="Vnculodendice"/>
              </w:rPr>
              <w:t xml:space="preserve">ANEXO XI.II – Demonstrativo </w:t>
            </w:r>
            <w:r>
              <w:rPr>
                <w:rStyle w:val="Vnculodendice"/>
                <w:rFonts w:eastAsia="" w:cs="" w:cstheme="minorBidi" w:eastAsiaTheme="minorEastAsia"/>
                <w:i w:val="false"/>
                <w:iCs w:val="false"/>
                <w:sz w:val="22"/>
              </w:rPr>
              <w:t>de Encontro de Contas - CSC – TAQ e 0800 – exercício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_Toc45579804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63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805">
            <w:r>
              <w:rPr>
                <w:webHidden/>
                <w:rStyle w:val="Vnculodendice"/>
              </w:rPr>
              <w:t>ANEXO XI.III – Demonstrativo do Centr de Serviço compartilhados – Demais Serviços Essenciais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_Toc45579805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64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806">
            <w:r>
              <w:rPr>
                <w:webHidden/>
                <w:rStyle w:val="Vnculodendice"/>
              </w:rPr>
              <w:t>ANEXO XII –Despesas do Centro de Serviços Compartilhados (Serviços por Adesão- SISCAF)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_Toc45579806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66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807">
            <w:r>
              <w:rPr>
                <w:webHidden/>
                <w:rStyle w:val="Vnculodendice"/>
              </w:rPr>
              <w:t>ANEXO XIII– Ressarcimento de taxas bancárias aos CAU/UF, correspondente a 20% do total previsto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_Toc45579807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68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808">
            <w:r>
              <w:rPr>
                <w:webHidden/>
                <w:rStyle w:val="Vnculodendice"/>
              </w:rPr>
              <w:t>ANEXO XIV - Indicadores Institucionais e de Resultados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_Toc45579808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70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0" w:leader="dot"/>
            </w:tabs>
            <w:rPr>
              <w:rFonts w:eastAsia="" w:cs="" w:cstheme="minorBidi" w:eastAsiaTheme="minorEastAsia"/>
              <w:i w:val="false"/>
              <w:i w:val="false"/>
              <w:iCs w:val="false"/>
              <w:sz w:val="22"/>
              <w:szCs w:val="22"/>
              <w:lang w:eastAsia="pt-BR"/>
            </w:rPr>
          </w:pPr>
          <w:hyperlink w:anchor="_Toc45579809">
            <w:r>
              <w:rPr>
                <w:webHidden/>
                <w:rStyle w:val="Vnculodendice"/>
                <w:rFonts w:eastAsia="Arial Unicode MS"/>
              </w:rPr>
              <w:t xml:space="preserve">ANEXO XV – </w:t>
            </w:r>
            <w:r>
              <w:rPr>
                <w:rStyle w:val="Vnculodendice"/>
              </w:rPr>
              <w:t>Modelo para Elaboração da Reprogramação do Plano de Ação e Orçamento – Reprogramação 2021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_Toc45579809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76</w:t>
            </w:r>
            <w:r>
              <w:rPr>
                <w:webHidden/>
              </w:rPr>
              <w:fldChar w:fldCharType="end"/>
            </w:r>
          </w:hyperlink>
          <w:r>
            <w:rPr>
              <w:rStyle w:val="Vnculodendice"/>
              <w:vanish w:val="false"/>
            </w:rPr>
            <w:fldChar w:fldCharType="end"/>
          </w:r>
        </w:p>
      </w:sdtContent>
    </w:sdt>
    <w:p>
      <w:pPr>
        <w:pStyle w:val="Sumrio3"/>
        <w:jc w:val="both"/>
        <w:rPr/>
      </w:pPr>
      <w:r>
        <w:rPr/>
      </w:r>
    </w:p>
    <w:p>
      <w:pPr>
        <w:pStyle w:val="Normal"/>
        <w:rPr>
          <w:rFonts w:cs="Calibri" w:cstheme="minorHAnsi"/>
          <w:i/>
          <w:i/>
          <w:iCs/>
          <w:sz w:val="20"/>
          <w:szCs w:val="20"/>
        </w:rPr>
      </w:pPr>
      <w:r>
        <w:rPr>
          <w:rFonts w:cs="Calibri" w:cstheme="minorHAnsi"/>
          <w:i/>
          <w:iCs/>
          <w:sz w:val="20"/>
          <w:szCs w:val="20"/>
        </w:rPr>
      </w:r>
      <w:r>
        <w:br w:type="page"/>
      </w:r>
    </w:p>
    <w:p>
      <w:pPr>
        <w:pStyle w:val="Ttulo1"/>
        <w:ind w:left="851" w:hanging="0"/>
        <w:rPr>
          <w:rFonts w:eastAsia="Arial Unicode MS"/>
          <w:color w:val="006666"/>
          <w:sz w:val="28"/>
          <w:szCs w:val="28"/>
        </w:rPr>
      </w:pPr>
      <w:bookmarkStart w:id="30" w:name="_Toc78546291"/>
      <w:bookmarkStart w:id="31" w:name="_Toc45579763"/>
      <w:bookmarkStart w:id="32" w:name="_Toc45579493"/>
      <w:bookmarkStart w:id="33" w:name="_Toc45573324"/>
      <w:bookmarkStart w:id="34" w:name="_Toc45572859"/>
      <w:bookmarkStart w:id="35" w:name="_Toc45571694"/>
      <w:bookmarkStart w:id="36" w:name="_Toc45563854"/>
      <w:bookmarkStart w:id="37" w:name="_Toc485391701"/>
      <w:bookmarkStart w:id="38" w:name="_Toc485394107"/>
      <w:bookmarkStart w:id="39" w:name="_Toc485395019"/>
      <w:bookmarkStart w:id="40" w:name="_Toc485637457"/>
      <w:bookmarkStart w:id="41" w:name="_Toc485638367"/>
      <w:bookmarkStart w:id="42" w:name="_Toc516740788"/>
      <w:bookmarkStart w:id="43" w:name="_Toc517110687"/>
      <w:bookmarkStart w:id="44" w:name="_Toc517111538"/>
      <w:bookmarkStart w:id="45" w:name="_Toc517111661"/>
      <w:bookmarkStart w:id="46" w:name="_Toc517111940"/>
      <w:bookmarkStart w:id="47" w:name="_Toc517188797"/>
      <w:bookmarkStart w:id="48" w:name="_Toc517194131"/>
      <w:bookmarkStart w:id="49" w:name="_Toc518381382"/>
      <w:bookmarkStart w:id="50" w:name="_Toc12120522"/>
      <w:bookmarkStart w:id="51" w:name="_Toc12185166"/>
      <w:bookmarkStart w:id="52" w:name="_Toc12204952"/>
      <w:bookmarkStart w:id="53" w:name="_Toc12224840"/>
      <w:bookmarkStart w:id="54" w:name="_Toc12224982"/>
      <w:bookmarkStart w:id="55" w:name="_Toc12225187"/>
      <w:bookmarkStart w:id="56" w:name="_Toc45533884"/>
      <w:r>
        <w:rPr>
          <w:rFonts w:eastAsia="Arial Unicode MS"/>
          <w:color w:val="006666"/>
          <w:sz w:val="28"/>
          <w:szCs w:val="28"/>
        </w:rPr>
        <w:t>INTRODUÇÃO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>
        <w:rPr>
          <w:rFonts w:eastAsia="Arial Unicode MS"/>
          <w:color w:val="006666"/>
          <w:sz w:val="28"/>
          <w:szCs w:val="28"/>
        </w:rPr>
        <w:t xml:space="preserve"> 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O Conselho de Arquitetura e Urbanismo – CAU, compreendendo a Unidade Nacional – CAU/BR e as Unidades Estaduais – CAU/UF, autarquia criada pela Lei 12.378/2010, tem como função “</w:t>
      </w:r>
      <w:r>
        <w:rPr>
          <w:rFonts w:eastAsia="Arial Unicode MS" w:cs="Calibri"/>
          <w:b/>
          <w:bCs/>
          <w:sz w:val="24"/>
          <w:szCs w:val="24"/>
        </w:rPr>
        <w:t>orientar, disciplinar</w:t>
      </w:r>
      <w:r>
        <w:rPr>
          <w:rFonts w:eastAsia="Arial Unicode MS" w:cs="Calibri"/>
          <w:sz w:val="24"/>
          <w:szCs w:val="24"/>
        </w:rPr>
        <w:t xml:space="preserve"> e </w:t>
      </w:r>
      <w:r>
        <w:rPr>
          <w:rFonts w:eastAsia="Arial Unicode MS" w:cs="Calibri"/>
          <w:b/>
          <w:bCs/>
          <w:sz w:val="24"/>
          <w:szCs w:val="24"/>
        </w:rPr>
        <w:t xml:space="preserve">fiscalizar </w:t>
      </w:r>
      <w:r>
        <w:rPr>
          <w:rFonts w:eastAsia="Arial Unicode MS" w:cs="Calibri"/>
          <w:sz w:val="24"/>
          <w:szCs w:val="24"/>
        </w:rPr>
        <w:t xml:space="preserve">o exercício da profissão de arquitetura e urbanismo, </w:t>
      </w:r>
      <w:r>
        <w:rPr>
          <w:rFonts w:eastAsia="Arial Unicode MS" w:cs="Calibri"/>
          <w:b/>
          <w:bCs/>
          <w:sz w:val="24"/>
          <w:szCs w:val="24"/>
        </w:rPr>
        <w:t>zelar</w:t>
      </w:r>
      <w:r>
        <w:rPr>
          <w:rFonts w:eastAsia="Arial Unicode MS" w:cs="Calibri"/>
          <w:sz w:val="24"/>
          <w:szCs w:val="24"/>
        </w:rPr>
        <w:t xml:space="preserve"> pela fiel observância dos princípios de ética e disciplina da classe em todo o território nacional, bem como </w:t>
      </w:r>
      <w:r>
        <w:rPr>
          <w:rFonts w:eastAsia="Arial Unicode MS" w:cs="Calibri"/>
          <w:b/>
          <w:bCs/>
          <w:sz w:val="24"/>
          <w:szCs w:val="24"/>
        </w:rPr>
        <w:t>pugnar</w:t>
      </w:r>
      <w:r>
        <w:rPr>
          <w:rFonts w:eastAsia="Arial Unicode MS" w:cs="Calibri"/>
          <w:sz w:val="24"/>
          <w:szCs w:val="24"/>
        </w:rPr>
        <w:t xml:space="preserve"> pelo aperfeiçoamento do exercício da arquitetura e urbanismo”.</w:t>
      </w:r>
    </w:p>
    <w:p>
      <w:pPr>
        <w:pStyle w:val="Normal"/>
        <w:spacing w:lineRule="auto" w:line="360"/>
        <w:ind w:right="-144" w:firstLine="851"/>
        <w:jc w:val="both"/>
        <w:rPr>
          <w:rFonts w:eastAsia="Arial Unicode MS" w:cs="Calibri"/>
          <w:b/>
          <w:b/>
          <w:i/>
          <w:i/>
          <w:sz w:val="24"/>
          <w:szCs w:val="24"/>
        </w:rPr>
      </w:pPr>
      <w:r>
        <w:rPr>
          <w:rFonts w:eastAsia="Arial Unicode MS" w:cs="Calibri"/>
          <w:b/>
          <w:i/>
          <w:sz w:val="24"/>
          <w:szCs w:val="24"/>
        </w:rPr>
        <w:t>O Plano de Ação do CAU orienta-se pela missão da instituição, definida no Planejamento Estratégico 2023, de “Promover a Arquitetura e Urbanismo para Todos”; e por sua visão de futuro, de “Ser reconhecido como referência na defesa e fomento das boas práticas da Arquitetura e Urbanismo”.</w:t>
      </w:r>
    </w:p>
    <w:p>
      <w:pPr>
        <w:pStyle w:val="Normal"/>
        <w:spacing w:lineRule="auto" w:line="360"/>
        <w:ind w:right="-144" w:firstLine="851"/>
        <w:jc w:val="both"/>
        <w:rPr>
          <w:rFonts w:eastAsia="Arial Unicode MS" w:cs="Calibri"/>
          <w:b/>
          <w:b/>
          <w:i/>
          <w:i/>
          <w:sz w:val="24"/>
          <w:szCs w:val="24"/>
        </w:rPr>
      </w:pPr>
      <w:r>
        <mc:AlternateContent>
          <mc:Choice Requires="wps">
            <w:drawing>
              <wp:anchor behindDoc="0" distT="3175" distB="3175" distL="231775" distR="231775" simplePos="0" locked="0" layoutInCell="0" allowOverlap="1" relativeHeight="95" wp14:anchorId="7AE04DB9">
                <wp:simplePos x="0" y="0"/>
                <wp:positionH relativeFrom="rightMargin">
                  <wp:posOffset>-4140835</wp:posOffset>
                </wp:positionH>
                <wp:positionV relativeFrom="margin">
                  <wp:posOffset>3957955</wp:posOffset>
                </wp:positionV>
                <wp:extent cx="9295765" cy="825500"/>
                <wp:effectExtent l="25082" t="0" r="7303" b="7302"/>
                <wp:wrapSquare wrapText="bothSides"/>
                <wp:docPr id="6" name="Caixa de Texto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295200" cy="824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algn="r" dir="10800000" dist="18720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INTRODUÇÃO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NTRODUÇÃO</w:t>
                            </w:r>
                          </w:p>
                        </w:txbxContent>
                      </wps:txbx>
                      <wps:bodyPr lIns="228600" rIns="0" tIns="137160" bIns="13716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8" path="m0,0l-2147483645,0l-2147483645,-2147483646l0,-2147483646xe" fillcolor="white" stroked="f" style="position:absolute;margin-left:-326.05pt;margin-top:311.65pt;width:731.85pt;height:64.9pt;mso-wrap-style:square;v-text-anchor:top;rotation:270;mso-position-horizontal-relative:page;mso-position-vertical-relative:margin" wp14:anchorId="7AE04DB9">
                <v:fill o:detectmouseclick="t" type="solid" color2="black"/>
                <v:stroke color="#3465a4" weight="6480" joinstyle="round" endcap="flat"/>
                <v:shadow on="t" obscured="f" color="#f2f2f2"/>
                <v:textbox>
                  <w:txbxContent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BFBFBF" w:themeColor="background1" w:themeShade="bf"/>
                          <w:sz w:val="72"/>
                          <w:szCs w:val="72"/>
                        </w:rPr>
                        <w:t>INTRODUÇÃO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NTRODUÇÃO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eastAsia="Arial Unicode MS" w:cs="Calibri"/>
          <w:sz w:val="24"/>
          <w:szCs w:val="24"/>
        </w:rPr>
        <w:t>O Plano de Ação e Orçamento do CAU para 2021 foi elaborado a partir do Planejamento Estratégico, da avaliação dos resultados obtidos com a aplicação da estratégia atual, bem como de uma reflexão sobre os cenários de atuação e de recursos, estabelecidos em um conjunto de prioridades e metas, visando o alcance dos objetivos estabelecidos no Mapa Estratégico do CAU, que é a síntese do seu Planejamento Estratégico 2023.</w:t>
      </w:r>
    </w:p>
    <w:p>
      <w:pPr>
        <w:pStyle w:val="ListParagraph"/>
        <w:spacing w:lineRule="auto" w:line="360"/>
        <w:ind w:left="0" w:firstLine="851"/>
        <w:jc w:val="both"/>
        <w:rPr>
          <w:rFonts w:eastAsia="Arial Unicode MS" w:cs="Calibri"/>
          <w:bCs/>
          <w:color w:val="000000" w:themeColor="text1"/>
          <w:sz w:val="24"/>
          <w:szCs w:val="24"/>
        </w:rPr>
      </w:pPr>
      <w:r>
        <w:rPr>
          <w:rFonts w:eastAsia="Arial Unicode MS" w:cs="Calibri"/>
          <w:bCs/>
          <w:color w:val="000000" w:themeColor="text1"/>
          <w:sz w:val="24"/>
          <w:szCs w:val="24"/>
        </w:rPr>
        <w:t>Nesse contexto, o processo de planejamento caracteriza-se como uma atividade contínua e sistematizada, que objetiva implementar as políticas e estratégias definidas para a entidade.</w:t>
      </w:r>
    </w:p>
    <w:p>
      <w:pPr>
        <w:pStyle w:val="ListParagraph"/>
        <w:spacing w:lineRule="auto" w:line="360"/>
        <w:ind w:left="0" w:firstLine="851"/>
        <w:jc w:val="both"/>
        <w:rPr>
          <w:rFonts w:eastAsia="Arial Unicode MS" w:cs="Calibri"/>
          <w:bCs/>
          <w:color w:val="000000" w:themeColor="text1"/>
          <w:sz w:val="24"/>
          <w:szCs w:val="24"/>
        </w:rPr>
      </w:pPr>
      <w:r>
        <w:rPr>
          <w:rFonts w:eastAsia="Arial Unicode MS" w:cs="Calibri"/>
          <w:bCs/>
          <w:color w:val="000000" w:themeColor="text1"/>
          <w:sz w:val="24"/>
          <w:szCs w:val="24"/>
        </w:rPr>
        <w:t>Por sua vez, revisões periódicas do planejamento por meio da análise do comportamento da execução das metas estabelecidas, da avaliação dos resultados alcançados, e da execução orçamentária frente à projeção inicial, viabiliza a adoção de medidas estratégicas voltadas ao aprimoramento e redirecionamento dos rumos estabelecidos no Plano de Ação, para o alcance da Missão.</w:t>
      </w:r>
    </w:p>
    <w:p>
      <w:pPr>
        <w:pStyle w:val="ListParagraph"/>
        <w:spacing w:lineRule="auto" w:line="360"/>
        <w:ind w:left="0" w:firstLine="851"/>
        <w:jc w:val="both"/>
        <w:rPr>
          <w:rFonts w:eastAsia="Arial Unicode MS" w:cs="Calibri"/>
          <w:bCs/>
          <w:color w:val="000000" w:themeColor="text1"/>
          <w:sz w:val="24"/>
          <w:szCs w:val="24"/>
        </w:rPr>
      </w:pPr>
      <w:r>
        <w:rPr>
          <w:rFonts w:eastAsia="Arial Unicode MS" w:cs="Calibri"/>
          <w:bCs/>
          <w:color w:val="000000" w:themeColor="text1"/>
          <w:sz w:val="24"/>
          <w:szCs w:val="24"/>
        </w:rPr>
        <w:t xml:space="preserve">As atuais Diretrizes visam nortear os CAU/UF e o CAU/BR mediante procedimentos para a adequação do Plano de Ação e Orçamento do CAU aprovado para o exercício de 2021, frente aos resultados alcançados no período </w:t>
      </w:r>
      <w:r>
        <w:rPr>
          <w:rFonts w:eastAsia="Arial Unicode MS" w:cs="Calibri"/>
          <w:b/>
          <w:bCs/>
          <w:sz w:val="24"/>
          <w:szCs w:val="24"/>
        </w:rPr>
        <w:t>janeiro a maio</w:t>
      </w:r>
      <w:r>
        <w:rPr>
          <w:rFonts w:eastAsia="Arial Unicode MS" w:cs="Calibri"/>
          <w:b/>
          <w:bCs/>
          <w:color w:val="000000" w:themeColor="text1"/>
          <w:sz w:val="24"/>
          <w:szCs w:val="24"/>
        </w:rPr>
        <w:t>/21</w:t>
      </w:r>
      <w:r>
        <w:rPr>
          <w:rFonts w:eastAsia="Arial Unicode MS" w:cs="Calibri"/>
          <w:bCs/>
          <w:color w:val="000000" w:themeColor="text1"/>
          <w:sz w:val="24"/>
          <w:szCs w:val="24"/>
        </w:rPr>
        <w:t>, e a novas prioridades de atuação do Conselho.</w:t>
      </w:r>
    </w:p>
    <w:p>
      <w:pPr>
        <w:pStyle w:val="Ttulo1"/>
        <w:numPr>
          <w:ilvl w:val="0"/>
          <w:numId w:val="3"/>
        </w:numPr>
        <w:jc w:val="both"/>
        <w:rPr>
          <w:color w:val="006666"/>
          <w:sz w:val="28"/>
          <w:szCs w:val="28"/>
        </w:rPr>
      </w:pPr>
      <w:bookmarkStart w:id="57" w:name="_Toc78546292"/>
      <w:bookmarkStart w:id="58" w:name="_Toc45579764"/>
      <w:bookmarkStart w:id="59" w:name="_Toc45579494"/>
      <w:bookmarkStart w:id="60" w:name="_Toc45573325"/>
      <w:bookmarkStart w:id="61" w:name="_Toc45572860"/>
      <w:bookmarkStart w:id="62" w:name="_Toc45571695"/>
      <w:bookmarkStart w:id="63" w:name="_Toc45563855"/>
      <w:bookmarkStart w:id="64" w:name="_Toc45533885"/>
      <w:bookmarkStart w:id="65" w:name="_Toc485391702"/>
      <w:bookmarkStart w:id="66" w:name="_Toc485394108"/>
      <w:bookmarkStart w:id="67" w:name="_Toc485395020"/>
      <w:bookmarkStart w:id="68" w:name="_Toc485637458"/>
      <w:bookmarkStart w:id="69" w:name="_Toc485638368"/>
      <w:bookmarkStart w:id="70" w:name="_Toc516740789"/>
      <w:bookmarkStart w:id="71" w:name="_Toc517110688"/>
      <w:bookmarkStart w:id="72" w:name="_Toc517111539"/>
      <w:bookmarkStart w:id="73" w:name="_Toc517111662"/>
      <w:bookmarkStart w:id="74" w:name="_Toc517111941"/>
      <w:bookmarkStart w:id="75" w:name="_Toc517188798"/>
      <w:bookmarkStart w:id="76" w:name="_Toc517194132"/>
      <w:bookmarkStart w:id="77" w:name="_Toc518381383"/>
      <w:bookmarkStart w:id="78" w:name="_Toc12120523"/>
      <w:bookmarkStart w:id="79" w:name="_Toc12185167"/>
      <w:bookmarkStart w:id="80" w:name="_Toc12204953"/>
      <w:bookmarkStart w:id="81" w:name="_Toc12224841"/>
      <w:bookmarkStart w:id="82" w:name="_Toc12224983"/>
      <w:bookmarkStart w:id="83" w:name="_Toc12225188"/>
      <w:r>
        <w:rPr>
          <w:color w:val="006666"/>
          <w:sz w:val="28"/>
          <w:szCs w:val="28"/>
        </w:rPr>
        <w:t>SISTEMÁTICA DE ELABORAÇÃO DA REPROGRAMAÇÃO DO PLANO DE AÇÃO E ORÇAMENTO DO CAU – EXERCÍCIO 20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r>
        <w:rPr>
          <w:color w:val="006666"/>
          <w:sz w:val="28"/>
          <w:szCs w:val="28"/>
        </w:rPr>
        <w:t>2</w:t>
      </w:r>
      <w:bookmarkEnd w:id="58"/>
      <w:bookmarkEnd w:id="59"/>
      <w:bookmarkEnd w:id="60"/>
      <w:bookmarkEnd w:id="61"/>
      <w:bookmarkEnd w:id="62"/>
      <w:bookmarkEnd w:id="63"/>
      <w:bookmarkEnd w:id="64"/>
      <w:r>
        <w:rPr>
          <w:color w:val="006666"/>
          <w:sz w:val="28"/>
          <w:szCs w:val="28"/>
        </w:rPr>
        <w:t>1</w:t>
      </w:r>
      <w:bookmarkEnd w:id="57"/>
    </w:p>
    <w:p>
      <w:pPr>
        <w:pStyle w:val="Normal"/>
        <w:spacing w:before="0" w:after="0"/>
        <w:rPr>
          <w:lang w:eastAsia="pt-BR"/>
        </w:rPr>
      </w:pPr>
      <w:r>
        <w:rPr>
          <w:lang w:eastAsia="pt-BR"/>
        </w:rPr>
      </w:r>
    </w:p>
    <w:p>
      <w:pPr>
        <w:pStyle w:val="NoSpacing"/>
        <w:spacing w:lineRule="auto" w:line="360"/>
        <w:ind w:firstLine="85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Com a finalidade de orientar decisões, o Plano de Ação - composto por projetos, atividades, metas e resultados, precisa estar alinhado aos direcionadores estratégicos do Conselho, refletindo sua Missão, Visão, políticas, estratégias e prioridades na atuação em prol do fortalecimento e desenvolvimento da profissão e da arquitetura e urbanismo. Visa fornecer, também, condições necessárias para a gestão da estratégia focada nos resultados estabelecidos pela entidade.</w:t>
      </w:r>
    </w:p>
    <w:p>
      <w:pPr>
        <w:pStyle w:val="NoSpacing"/>
        <w:spacing w:lineRule="auto" w:line="360"/>
        <w:ind w:left="502" w:firstLine="20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As diretrizes abaixo enunciadas relacionam-se ao objetivo principal desta Reprogramação:</w:t>
      </w:r>
    </w:p>
    <w:p>
      <w:pPr>
        <w:pStyle w:val="NoSpacing"/>
        <w:numPr>
          <w:ilvl w:val="0"/>
          <w:numId w:val="4"/>
        </w:numPr>
        <w:spacing w:lineRule="auto" w:line="36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Assegurar a flexibilidade aos Planos de Ação e Orçamentos visando permitir que decisões tomadas na previsão inicial aprovada, com base em uma perspectiva temporal mais longa, se ajustem a restrições derivadas do comportamento da receita estimada, e mudanças na conjuntura econômica;</w:t>
      </w:r>
    </w:p>
    <w:p>
      <w:pPr>
        <w:pStyle w:val="NoSpacing"/>
        <w:numPr>
          <w:ilvl w:val="0"/>
          <w:numId w:val="4"/>
        </w:numPr>
        <w:spacing w:lineRule="auto" w:line="360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cs="Calibri"/>
          <w:sz w:val="24"/>
          <w:szCs w:val="24"/>
        </w:rPr>
        <w:t>Adotar uma abordagem sistêmica nas decisões de destinação de recursos, de modo que os planos de ação reflitam as prioridades de atuação do Conselho, na forma do Mapa Estratégico;</w:t>
      </w:r>
    </w:p>
    <w:p>
      <w:pPr>
        <w:pStyle w:val="NoSpacing"/>
        <w:numPr>
          <w:ilvl w:val="0"/>
          <w:numId w:val="4"/>
        </w:numPr>
        <w:spacing w:lineRule="auto" w:line="360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 xml:space="preserve">Refletir as alterações nas metas e resultados do Plano de Ação – projetos e atividades, frente aos resultados alcançados no período </w:t>
      </w:r>
      <w:r>
        <w:rPr>
          <w:rFonts w:eastAsia="Arial Unicode MS" w:cs="Calibri"/>
          <w:b/>
          <w:color w:val="000000"/>
          <w:sz w:val="24"/>
          <w:szCs w:val="24"/>
        </w:rPr>
        <w:t>janeiro a maio</w:t>
      </w:r>
      <w:r>
        <w:rPr>
          <w:rFonts w:eastAsia="Arial Unicode MS" w:cs="Calibri"/>
          <w:b/>
          <w:sz w:val="24"/>
          <w:szCs w:val="24"/>
        </w:rPr>
        <w:t>/21</w:t>
      </w:r>
      <w:r>
        <w:rPr>
          <w:rFonts w:eastAsia="Arial Unicode MS" w:cs="Calibri"/>
          <w:color w:val="000000"/>
          <w:sz w:val="24"/>
          <w:szCs w:val="24"/>
        </w:rPr>
        <w:t>, na forma do aprovado para o exercício e novas prioridades de atuação do Conselho;</w:t>
      </w:r>
    </w:p>
    <w:p>
      <w:pPr>
        <w:pStyle w:val="NoSpacing"/>
        <w:numPr>
          <w:ilvl w:val="0"/>
          <w:numId w:val="4"/>
        </w:numPr>
        <w:spacing w:lineRule="auto" w:line="360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 xml:space="preserve">Revisão nas metas, resultados e indicadores estabelecidos nos projetos e atividades direcionados ao atendimento dos Objetivos Estratégicos previstos no Mapa Estratégico, que são nacionalmente: </w:t>
      </w:r>
      <w:r>
        <w:rPr>
          <w:rFonts w:eastAsia="Arial Unicode MS" w:cs="Calibri"/>
          <w:b/>
          <w:sz w:val="24"/>
          <w:szCs w:val="24"/>
        </w:rPr>
        <w:t>Tornar a Fiscalização um vetor de melhoria do exercício da Arquitetura e Urbanismo</w:t>
      </w:r>
      <w:r>
        <w:rPr>
          <w:rFonts w:eastAsia="Arial Unicode MS" w:cs="Calibri"/>
          <w:sz w:val="24"/>
          <w:szCs w:val="24"/>
        </w:rPr>
        <w:t>;</w:t>
      </w:r>
      <w:r>
        <w:rPr>
          <w:rFonts w:eastAsia="Arial Unicode MS" w:cs="Calibri"/>
          <w:b/>
          <w:sz w:val="24"/>
          <w:szCs w:val="24"/>
        </w:rPr>
        <w:t xml:space="preserve"> Estimular a produção da Arquitetura e Urbanismo como política de Estado; e, Fomentar o aceso da sociedade à Arquitetura e urbanismo</w:t>
      </w:r>
      <w:r>
        <w:rPr>
          <w:rFonts w:eastAsia="Arial Unicode MS" w:cs="Calibri"/>
          <w:b/>
          <w:color w:val="000000"/>
          <w:sz w:val="24"/>
          <w:szCs w:val="24"/>
        </w:rPr>
        <w:t>, além dos objetivos estratégicos locais definidos por cada CAU/UF e CAU/BR;</w:t>
      </w:r>
      <w:r>
        <w:rPr>
          <w:rFonts w:eastAsia="Arial Unicode MS" w:cs="Calibri"/>
          <w:color w:val="000000"/>
          <w:sz w:val="24"/>
          <w:szCs w:val="24"/>
        </w:rPr>
        <w:t xml:space="preserve"> </w:t>
      </w:r>
    </w:p>
    <w:p>
      <w:pPr>
        <w:pStyle w:val="NoSpacing"/>
        <w:numPr>
          <w:ilvl w:val="0"/>
          <w:numId w:val="4"/>
        </w:numPr>
        <w:spacing w:lineRule="auto" w:line="360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 xml:space="preserve">Revisão do cenário das receitas de arrecadação, frente ao ocorrido no período </w:t>
      </w:r>
      <w:r>
        <w:rPr>
          <w:rFonts w:eastAsia="Arial Unicode MS" w:cs="Calibri"/>
          <w:b/>
          <w:color w:val="000000"/>
          <w:sz w:val="24"/>
          <w:szCs w:val="24"/>
        </w:rPr>
        <w:t>01 de</w:t>
      </w:r>
      <w:r>
        <w:rPr>
          <w:rFonts w:eastAsia="Arial Unicode MS" w:cs="Calibri"/>
          <w:color w:val="000000"/>
          <w:sz w:val="24"/>
          <w:szCs w:val="24"/>
        </w:rPr>
        <w:t xml:space="preserve"> </w:t>
      </w:r>
      <w:r>
        <w:rPr>
          <w:rFonts w:eastAsia="Arial Unicode MS" w:cs="Calibri"/>
          <w:b/>
          <w:color w:val="000000"/>
          <w:sz w:val="24"/>
          <w:szCs w:val="24"/>
        </w:rPr>
        <w:t xml:space="preserve">janeiro a </w:t>
      </w:r>
      <w:r>
        <w:rPr>
          <w:rFonts w:eastAsia="Arial Unicode MS" w:cs="Calibri"/>
          <w:b/>
          <w:sz w:val="24"/>
          <w:szCs w:val="24"/>
        </w:rPr>
        <w:t>19 de maio/21</w:t>
      </w:r>
      <w:r>
        <w:rPr>
          <w:rFonts w:eastAsia="Arial Unicode MS" w:cs="Calibri"/>
          <w:sz w:val="24"/>
          <w:szCs w:val="24"/>
        </w:rPr>
        <w:t xml:space="preserve"> e a projeção para o período </w:t>
      </w:r>
      <w:r>
        <w:rPr>
          <w:rFonts w:eastAsia="Arial Unicode MS" w:cs="Calibri"/>
          <w:b/>
          <w:sz w:val="24"/>
          <w:szCs w:val="24"/>
        </w:rPr>
        <w:t xml:space="preserve">20 de maio a </w:t>
      </w:r>
      <w:r>
        <w:rPr>
          <w:rFonts w:eastAsia="Arial Unicode MS" w:cs="Calibri"/>
          <w:b/>
          <w:color w:val="000000"/>
          <w:sz w:val="24"/>
          <w:szCs w:val="24"/>
        </w:rPr>
        <w:t>31 dezembro/21</w:t>
      </w:r>
      <w:r>
        <w:rPr>
          <w:rFonts w:eastAsia="Arial Unicode MS" w:cs="Calibri"/>
          <w:color w:val="000000"/>
          <w:sz w:val="24"/>
          <w:szCs w:val="24"/>
        </w:rPr>
        <w:t>;</w:t>
      </w:r>
    </w:p>
    <w:p>
      <w:pPr>
        <w:pStyle w:val="NoSpacing"/>
        <w:numPr>
          <w:ilvl w:val="0"/>
          <w:numId w:val="4"/>
        </w:numPr>
        <w:spacing w:lineRule="auto" w:line="360"/>
        <w:jc w:val="both"/>
        <w:rPr>
          <w:rFonts w:eastAsia="Arial Unicode MS" w:cs="Calibri"/>
          <w:b/>
          <w:b/>
          <w:i/>
          <w:i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Incorporação dos recursos oriundos de saldos de exercícios anteriores para </w:t>
      </w:r>
      <w:r>
        <w:rPr>
          <w:rFonts w:cs="Arial" w:ascii="Arial" w:hAnsi="Arial"/>
          <w:b/>
          <w:i/>
          <w:color w:val="000000" w:themeColor="text1"/>
          <w:shd w:fill="FFFFFF" w:val="clear"/>
        </w:rPr>
        <w:t>projetos específicos</w:t>
      </w:r>
      <w:r>
        <w:rPr>
          <w:rFonts w:eastAsia="Arial Unicode MS" w:cs="Calibri"/>
          <w:color w:val="000000" w:themeColor="text1"/>
          <w:sz w:val="24"/>
          <w:szCs w:val="24"/>
        </w:rPr>
        <w:t>, de acordo com a Resolução nº 200/2020;</w:t>
      </w:r>
    </w:p>
    <w:p>
      <w:pPr>
        <w:pStyle w:val="NoSpacing"/>
        <w:numPr>
          <w:ilvl w:val="0"/>
          <w:numId w:val="4"/>
        </w:numPr>
        <w:spacing w:lineRule="auto" w:line="360"/>
        <w:jc w:val="both"/>
        <w:rPr>
          <w:rFonts w:eastAsia="Arial Unicode MS" w:cs="Calibri"/>
          <w:i/>
          <w:i/>
          <w:sz w:val="28"/>
          <w:szCs w:val="28"/>
        </w:rPr>
      </w:pPr>
      <w:r>
        <w:rPr>
          <w:sz w:val="24"/>
          <w:szCs w:val="24"/>
        </w:rPr>
        <w:t>Vedação a transposição de valores remanescentes de projetos específicos oriundos da utilização do superávit financeiro, conforme Deliberação nº 015/2019- CPFI- CAU/BR;</w:t>
      </w:r>
    </w:p>
    <w:p>
      <w:pPr>
        <w:pStyle w:val="NoSpacing"/>
        <w:numPr>
          <w:ilvl w:val="0"/>
          <w:numId w:val="4"/>
        </w:numPr>
        <w:spacing w:lineRule="auto" w:line="360"/>
        <w:jc w:val="both"/>
        <w:rPr>
          <w:rFonts w:eastAsia="Arial Unicode MS" w:cs="Calibri"/>
          <w:i/>
          <w:i/>
          <w:sz w:val="28"/>
          <w:szCs w:val="28"/>
        </w:rPr>
      </w:pPr>
      <w:r>
        <w:rPr>
          <w:sz w:val="24"/>
          <w:szCs w:val="24"/>
        </w:rPr>
        <w:t>Utilização</w:t>
      </w:r>
      <w:r>
        <w:rPr>
          <w:rFonts w:eastAsia="Arial Unicode MS" w:cs="Calibri"/>
          <w:i/>
          <w:sz w:val="28"/>
          <w:szCs w:val="28"/>
        </w:rPr>
        <w:t xml:space="preserve"> </w:t>
      </w:r>
      <w:r>
        <w:rPr>
          <w:sz w:val="24"/>
          <w:szCs w:val="24"/>
        </w:rPr>
        <w:t xml:space="preserve">de superávit financeiro acumulado  até o exercício imediatemente anterior, apurado no balanço patrimonial, em </w:t>
      </w:r>
      <w:r>
        <w:rPr>
          <w:b/>
          <w:bCs/>
          <w:i/>
          <w:iCs/>
          <w:sz w:val="24"/>
          <w:szCs w:val="24"/>
        </w:rPr>
        <w:t>despesas de capital,</w:t>
      </w:r>
      <w:r>
        <w:rPr>
          <w:sz w:val="24"/>
          <w:szCs w:val="24"/>
        </w:rPr>
        <w:t xml:space="preserve"> de acordo com o artigo 9 da Resolução nº 200/2020;</w:t>
      </w:r>
    </w:p>
    <w:p>
      <w:pPr>
        <w:pStyle w:val="NoSpacing"/>
        <w:numPr>
          <w:ilvl w:val="0"/>
          <w:numId w:val="4"/>
        </w:numPr>
        <w:spacing w:lineRule="auto" w:line="360"/>
        <w:jc w:val="both"/>
        <w:rPr>
          <w:rFonts w:eastAsia="Arial Unicode MS" w:cs="Calibri"/>
          <w:i/>
          <w:i/>
          <w:sz w:val="28"/>
          <w:szCs w:val="28"/>
        </w:rPr>
      </w:pPr>
      <w:r>
        <w:rPr>
          <w:sz w:val="24"/>
          <w:szCs w:val="24"/>
        </w:rPr>
        <w:t>Foram considerados os novos descontos e regras das anuidades previstos na Resolução nº 193/2020.</w:t>
      </w:r>
      <w:bookmarkStart w:id="84" w:name="_Hlk12118256"/>
      <w:bookmarkEnd w:id="84"/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 xml:space="preserve">A Reprogramação do Plano de Ação e Orçamento deverá, </w:t>
      </w:r>
      <w:r>
        <w:rPr>
          <w:rFonts w:eastAsia="Arial Unicode MS" w:cs="Calibri"/>
          <w:bCs/>
          <w:color w:val="000000"/>
          <w:sz w:val="24"/>
          <w:szCs w:val="24"/>
        </w:rPr>
        <w:t>visando</w:t>
      </w:r>
      <w:r>
        <w:rPr>
          <w:rFonts w:eastAsia="Arial Unicode MS" w:cs="Calibri"/>
          <w:b/>
          <w:bCs/>
          <w:color w:val="000000"/>
          <w:sz w:val="24"/>
          <w:szCs w:val="24"/>
        </w:rPr>
        <w:t xml:space="preserve"> resultados</w:t>
      </w:r>
      <w:r>
        <w:rPr>
          <w:rFonts w:eastAsia="Arial Unicode MS" w:cs="Calibri"/>
          <w:color w:val="000000"/>
          <w:sz w:val="24"/>
          <w:szCs w:val="24"/>
        </w:rPr>
        <w:t xml:space="preserve">, observar os princípios da </w:t>
      </w:r>
      <w:r>
        <w:rPr>
          <w:rFonts w:eastAsia="Arial Unicode MS" w:cs="Calibri"/>
          <w:b/>
          <w:color w:val="000000"/>
          <w:sz w:val="24"/>
          <w:szCs w:val="24"/>
        </w:rPr>
        <w:t>coerência,</w:t>
      </w:r>
      <w:r>
        <w:rPr>
          <w:rFonts w:eastAsia="Arial Unicode MS" w:cs="Calibri"/>
          <w:color w:val="000000"/>
          <w:sz w:val="24"/>
          <w:szCs w:val="24"/>
        </w:rPr>
        <w:t xml:space="preserve"> </w:t>
      </w:r>
      <w:r>
        <w:rPr>
          <w:rFonts w:eastAsia="Arial Unicode MS" w:cs="Calibri"/>
          <w:b/>
          <w:bCs/>
          <w:color w:val="000000"/>
          <w:sz w:val="24"/>
          <w:szCs w:val="24"/>
        </w:rPr>
        <w:t>transparência</w:t>
      </w:r>
      <w:r>
        <w:rPr>
          <w:rFonts w:eastAsia="Arial Unicode MS" w:cs="Calibri"/>
          <w:color w:val="000000"/>
          <w:sz w:val="24"/>
          <w:szCs w:val="24"/>
        </w:rPr>
        <w:t xml:space="preserve">, </w:t>
      </w:r>
      <w:r>
        <w:rPr>
          <w:rFonts w:eastAsia="Arial Unicode MS" w:cs="Calibri"/>
          <w:b/>
          <w:bCs/>
          <w:color w:val="000000"/>
          <w:sz w:val="24"/>
          <w:szCs w:val="24"/>
        </w:rPr>
        <w:t xml:space="preserve">simplicidade </w:t>
      </w:r>
      <w:r>
        <w:rPr>
          <w:rFonts w:eastAsia="Arial Unicode MS" w:cs="Calibri"/>
          <w:color w:val="000000"/>
          <w:sz w:val="24"/>
          <w:szCs w:val="24"/>
        </w:rPr>
        <w:t xml:space="preserve">e </w:t>
      </w:r>
      <w:r>
        <w:rPr>
          <w:rFonts w:eastAsia="Arial Unicode MS" w:cs="Calibri"/>
          <w:b/>
          <w:bCs/>
          <w:color w:val="000000"/>
          <w:sz w:val="24"/>
          <w:szCs w:val="24"/>
        </w:rPr>
        <w:t>flexibilidade</w:t>
      </w:r>
      <w:r>
        <w:rPr>
          <w:rFonts w:eastAsia="Arial Unicode MS" w:cs="Calibri"/>
          <w:color w:val="000000"/>
          <w:sz w:val="24"/>
          <w:szCs w:val="24"/>
        </w:rPr>
        <w:t>, e considerar as seguintes premissas que darão coesão à proposta de reprogramação: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1276" w:leader="none"/>
        </w:tabs>
        <w:spacing w:lineRule="auto" w:line="360" w:before="0" w:after="0"/>
        <w:ind w:left="1276" w:hanging="425"/>
        <w:contextualSpacing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 xml:space="preserve">a análise da execução, no período </w:t>
      </w:r>
      <w:r>
        <w:rPr>
          <w:rFonts w:eastAsia="Arial Unicode MS" w:cs="Calibri"/>
          <w:b/>
          <w:color w:val="000000"/>
          <w:sz w:val="24"/>
          <w:szCs w:val="24"/>
        </w:rPr>
        <w:t>janeiro a maio/202</w:t>
      </w:r>
      <w:r>
        <w:rPr>
          <w:rFonts w:eastAsia="Arial Unicode MS" w:cs="Calibri"/>
          <w:b/>
          <w:sz w:val="24"/>
          <w:szCs w:val="24"/>
        </w:rPr>
        <w:t>1</w:t>
      </w:r>
      <w:r>
        <w:rPr>
          <w:rFonts w:eastAsia="Arial Unicode MS" w:cs="Calibri"/>
          <w:color w:val="000000"/>
          <w:sz w:val="24"/>
          <w:szCs w:val="24"/>
        </w:rPr>
        <w:t xml:space="preserve"> frente ao plano aprovado, orienta a definição de novas estratégias, metas e resultados;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1276" w:leader="none"/>
        </w:tabs>
        <w:spacing w:lineRule="auto" w:line="360" w:before="0" w:after="0"/>
        <w:ind w:left="1276" w:hanging="425"/>
        <w:contextualSpacing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>os processos de reformulação da estratégia e orçamentária são integrados, e ocorrem em momentos distintos e sucessivos. Primeiramente, é realizada a reformulação da estratégia, que terá como produto os redirecionamentos de metas e resultados nos Planos de Ação de cada CAU/UF e o do CAU/BR, os quais, depois de negociados e validados, orientam a elaboração das respectivas reprogramações orçamentárias. A reformulação da estratégia de atuação de cada CAU/UF e da Unidade Nacional, coerente com a realidade local e compatível com os Direcionadores Estratégicos do CAU, é a base para orientar a realocação de recursos;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1276" w:leader="none"/>
        </w:tabs>
        <w:spacing w:lineRule="auto" w:line="360" w:before="0" w:after="0"/>
        <w:ind w:left="1276" w:hanging="425"/>
        <w:contextualSpacing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>a avaliação sistemática de resultados para aperfeiçoar a atuação do Conselho, indicando medidas corretivas e preventivas, medindo a eficácia e efetividade da atuação do CAU; e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1276" w:leader="none"/>
        </w:tabs>
        <w:spacing w:lineRule="auto" w:line="360" w:before="0" w:after="0"/>
        <w:ind w:left="1276" w:hanging="425"/>
        <w:contextualSpacing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 xml:space="preserve">o equilíbrio orçamentário (despesas iguais as receitas). </w:t>
      </w:r>
    </w:p>
    <w:p>
      <w:pPr>
        <w:pStyle w:val="ListParagraph"/>
        <w:tabs>
          <w:tab w:val="clear" w:pos="708"/>
          <w:tab w:val="left" w:pos="1134" w:leader="none"/>
        </w:tabs>
        <w:spacing w:lineRule="auto" w:line="360" w:before="0" w:after="0"/>
        <w:ind w:left="1134" w:hanging="0"/>
        <w:contextualSpacing/>
        <w:jc w:val="both"/>
        <w:rPr>
          <w:rFonts w:eastAsia="Arial Unicode MS" w:cs="Calibri"/>
          <w:color w:val="000000"/>
          <w:sz w:val="24"/>
          <w:szCs w:val="24"/>
          <w:highlight w:val="yellow"/>
        </w:rPr>
      </w:pPr>
      <w:r>
        <w:rPr>
          <w:rFonts w:eastAsia="Arial Unicode MS" w:cs="Calibri"/>
          <w:color w:val="000000"/>
          <w:sz w:val="24"/>
          <w:szCs w:val="24"/>
          <w:highlight w:val="yellow"/>
        </w:rPr>
      </w:r>
    </w:p>
    <w:p>
      <w:pPr>
        <w:pStyle w:val="Ttulo2"/>
        <w:numPr>
          <w:ilvl w:val="1"/>
          <w:numId w:val="6"/>
        </w:numPr>
        <w:ind w:left="786" w:hanging="436"/>
        <w:rPr>
          <w:color w:val="006666"/>
          <w:sz w:val="28"/>
          <w:szCs w:val="28"/>
        </w:rPr>
      </w:pPr>
      <w:r>
        <w:rPr>
          <w:sz w:val="24"/>
          <w:szCs w:val="24"/>
        </w:rPr>
        <w:t xml:space="preserve"> </w:t>
      </w:r>
      <w:bookmarkStart w:id="85" w:name="_Toc78546293"/>
      <w:bookmarkStart w:id="86" w:name="_Toc45579765"/>
      <w:bookmarkStart w:id="87" w:name="_Toc45579495"/>
      <w:bookmarkStart w:id="88" w:name="_Toc45573326"/>
      <w:bookmarkStart w:id="89" w:name="_Toc45572861"/>
      <w:bookmarkStart w:id="90" w:name="_Toc45571696"/>
      <w:bookmarkStart w:id="91" w:name="_Toc45563856"/>
      <w:bookmarkStart w:id="92" w:name="_Toc485391703"/>
      <w:bookmarkStart w:id="93" w:name="_Toc485394109"/>
      <w:bookmarkStart w:id="94" w:name="_Toc485395021"/>
      <w:bookmarkStart w:id="95" w:name="_Toc485637459"/>
      <w:bookmarkStart w:id="96" w:name="_Toc485638369"/>
      <w:bookmarkStart w:id="97" w:name="_Toc516740790"/>
      <w:bookmarkStart w:id="98" w:name="_Toc517110689"/>
      <w:bookmarkStart w:id="99" w:name="_Toc517111540"/>
      <w:bookmarkStart w:id="100" w:name="_Toc517111663"/>
      <w:bookmarkStart w:id="101" w:name="_Toc517111942"/>
      <w:bookmarkStart w:id="102" w:name="_Toc517188799"/>
      <w:bookmarkStart w:id="103" w:name="_Toc517194133"/>
      <w:bookmarkStart w:id="104" w:name="_Toc518381384"/>
      <w:bookmarkStart w:id="105" w:name="_Toc12119513"/>
      <w:bookmarkStart w:id="106" w:name="_Toc12120524"/>
      <w:bookmarkStart w:id="107" w:name="_Toc12185168"/>
      <w:bookmarkStart w:id="108" w:name="_Toc12204954"/>
      <w:bookmarkStart w:id="109" w:name="_Toc12224842"/>
      <w:bookmarkStart w:id="110" w:name="_Toc12224984"/>
      <w:bookmarkStart w:id="111" w:name="_Toc12225189"/>
      <w:bookmarkStart w:id="112" w:name="_Toc45533886"/>
      <w:r>
        <w:rPr>
          <w:color w:val="006666"/>
          <w:sz w:val="28"/>
          <w:szCs w:val="28"/>
        </w:rPr>
        <w:t>Cenário de Recursos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>
      <w:pPr>
        <w:pStyle w:val="NoSpacing"/>
        <w:spacing w:lineRule="auto" w:line="360"/>
        <w:ind w:firstLine="85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 construção do Cenário de Reestimativa de Recursos do CAU é peça fundamental no processo de elaboração da Reprogramação do Plano de Ação e Orçamento. </w:t>
      </w:r>
    </w:p>
    <w:p>
      <w:pPr>
        <w:pStyle w:val="NoSpacing"/>
        <w:spacing w:lineRule="auto" w:line="360"/>
        <w:ind w:firstLine="85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Visa definir novos parâmetros a serem utilizados nas estimativas de receitas e despesas, de forma a indicar prioridades que irão orientar as decisões de gastos, essenciais para o desenvolvimento e manutenção das atividades do CAU no exercício de 2021.</w:t>
      </w:r>
    </w:p>
    <w:p>
      <w:pPr>
        <w:pStyle w:val="NoSpacing"/>
        <w:spacing w:lineRule="auto" w:line="360"/>
        <w:ind w:firstLine="851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Spacing"/>
        <w:spacing w:lineRule="auto" w:line="360"/>
        <w:ind w:firstLine="851"/>
        <w:jc w:val="both"/>
        <w:rPr>
          <w:rFonts w:eastAsia="Calibri" w:cs="Calibri"/>
          <w:b/>
          <w:b/>
          <w:color w:val="006666"/>
          <w:sz w:val="24"/>
          <w:szCs w:val="24"/>
        </w:rPr>
      </w:pPr>
      <w:r>
        <w:rPr>
          <w:rFonts w:eastAsia="Calibri" w:cs="Calibri"/>
          <w:b/>
          <w:color w:val="006666"/>
          <w:sz w:val="24"/>
          <w:szCs w:val="24"/>
        </w:rPr>
        <w:t>O Cenário de Recursos Orçamentários do CAU/BR é composto de:</w:t>
      </w:r>
    </w:p>
    <w:p>
      <w:pPr>
        <w:pStyle w:val="NoSpacing"/>
        <w:spacing w:lineRule="auto" w:line="360"/>
        <w:ind w:firstLine="851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RECEITAS CORRENTES     </w:t>
      </w:r>
    </w:p>
    <w:p>
      <w:pPr>
        <w:pStyle w:val="NoSpacing"/>
        <w:numPr>
          <w:ilvl w:val="0"/>
          <w:numId w:val="26"/>
        </w:numPr>
        <w:spacing w:lineRule="auto" w:line="360"/>
        <w:ind w:left="993" w:hanging="142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(20%) das arrecadações com anuidades do exercício e exercícios anteriores (PF e PJ), RRT e taxas e multas sobre as obrigações dos profissionais, com o Conselho;</w:t>
      </w:r>
    </w:p>
    <w:p>
      <w:pPr>
        <w:pStyle w:val="Normal"/>
        <w:numPr>
          <w:ilvl w:val="0"/>
          <w:numId w:val="7"/>
        </w:numPr>
        <w:tabs>
          <w:tab w:val="clear" w:pos="708"/>
          <w:tab w:val="left" w:pos="1276" w:leader="none"/>
        </w:tabs>
        <w:spacing w:lineRule="auto" w:line="360" w:beforeAutospacing="1" w:after="0"/>
        <w:ind w:left="993" w:hanging="142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de aplicações financeiras; e</w:t>
      </w:r>
    </w:p>
    <w:p>
      <w:pPr>
        <w:pStyle w:val="Normal"/>
        <w:numPr>
          <w:ilvl w:val="0"/>
          <w:numId w:val="7"/>
        </w:numPr>
        <w:tabs>
          <w:tab w:val="clear" w:pos="708"/>
          <w:tab w:val="left" w:pos="1276" w:leader="none"/>
        </w:tabs>
        <w:spacing w:lineRule="auto" w:line="360" w:before="0" w:afterAutospacing="1"/>
        <w:ind w:left="993" w:hanging="142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outras receitas.</w:t>
      </w:r>
    </w:p>
    <w:p>
      <w:pPr>
        <w:pStyle w:val="Normal"/>
        <w:tabs>
          <w:tab w:val="clear" w:pos="708"/>
          <w:tab w:val="left" w:pos="1276" w:leader="none"/>
        </w:tabs>
        <w:spacing w:lineRule="auto" w:line="360" w:beforeAutospacing="1" w:afterAutospacing="1"/>
        <w:ind w:firstLine="851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DE CAPITAL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1276" w:leader="none"/>
        </w:tabs>
        <w:spacing w:lineRule="auto" w:line="360" w:beforeAutospacing="1" w:after="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de exercícios anteriores (superávit financeiro); e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1276" w:leader="none"/>
        </w:tabs>
        <w:spacing w:lineRule="auto" w:line="360" w:before="0" w:afterAutospacing="1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outras receitas de capital.</w:t>
      </w:r>
    </w:p>
    <w:p>
      <w:pPr>
        <w:pStyle w:val="Normal"/>
        <w:spacing w:lineRule="auto" w:line="360" w:beforeAutospacing="1" w:afterAutospacing="1"/>
        <w:ind w:firstLine="851"/>
        <w:jc w:val="both"/>
        <w:rPr>
          <w:rFonts w:eastAsia="Calibri" w:cs="Calibri"/>
          <w:b/>
          <w:b/>
          <w:color w:val="006666"/>
          <w:sz w:val="24"/>
          <w:szCs w:val="24"/>
        </w:rPr>
      </w:pPr>
      <w:r>
        <w:rPr>
          <w:rFonts w:eastAsia="Calibri" w:cs="Calibri"/>
          <w:b/>
          <w:color w:val="006666"/>
          <w:sz w:val="24"/>
          <w:szCs w:val="24"/>
        </w:rPr>
      </w:r>
    </w:p>
    <w:p>
      <w:pPr>
        <w:pStyle w:val="Normal"/>
        <w:spacing w:lineRule="auto" w:line="360" w:beforeAutospacing="1" w:afterAutospacing="1"/>
        <w:ind w:firstLine="851"/>
        <w:jc w:val="both"/>
        <w:rPr>
          <w:rFonts w:eastAsia="Calibri" w:cs="Calibri"/>
          <w:b/>
          <w:b/>
          <w:color w:val="006666"/>
          <w:sz w:val="24"/>
          <w:szCs w:val="24"/>
        </w:rPr>
      </w:pPr>
      <w:r>
        <w:rPr>
          <w:rFonts w:eastAsia="Calibri" w:cs="Calibri"/>
          <w:b/>
          <w:color w:val="006666"/>
          <w:sz w:val="24"/>
          <w:szCs w:val="24"/>
        </w:rPr>
        <w:t>O Cenário de Recursos Orçamentários do CAU/UF é composto de:</w:t>
      </w:r>
    </w:p>
    <w:p>
      <w:pPr>
        <w:pStyle w:val="Normal"/>
        <w:spacing w:lineRule="auto" w:line="360" w:beforeAutospacing="1" w:afterAutospacing="1"/>
        <w:ind w:left="568" w:firstLine="283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CORRENTES</w:t>
      </w:r>
    </w:p>
    <w:p>
      <w:pPr>
        <w:pStyle w:val="Normal"/>
        <w:numPr>
          <w:ilvl w:val="0"/>
          <w:numId w:val="7"/>
        </w:numPr>
        <w:spacing w:lineRule="auto" w:line="360" w:beforeAutospacing="1" w:after="0"/>
        <w:ind w:left="1276" w:hanging="425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receitas (80%) das arrecadações com anuidades do exercício e exercícios anteriores (PF e PJ), RRT e taxas e multas sobre as obrigações dos profissionais, com o Conselho; </w:t>
      </w:r>
    </w:p>
    <w:p>
      <w:pPr>
        <w:pStyle w:val="Normal"/>
        <w:numPr>
          <w:ilvl w:val="0"/>
          <w:numId w:val="7"/>
        </w:numPr>
        <w:spacing w:lineRule="auto" w:line="360" w:before="0" w:after="0"/>
        <w:ind w:left="1276" w:hanging="425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receitas de aplicações financeiras; </w:t>
      </w:r>
    </w:p>
    <w:p>
      <w:pPr>
        <w:pStyle w:val="Normal"/>
        <w:numPr>
          <w:ilvl w:val="0"/>
          <w:numId w:val="7"/>
        </w:numPr>
        <w:spacing w:lineRule="auto" w:line="360" w:before="0" w:after="0"/>
        <w:ind w:left="1276" w:hanging="425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do Fundo de Apoio Financeiro aos CAU/UF (somente para os CAU/UF contemplados como CAU Básico); e</w:t>
      </w:r>
    </w:p>
    <w:p>
      <w:pPr>
        <w:pStyle w:val="Normal"/>
        <w:numPr>
          <w:ilvl w:val="0"/>
          <w:numId w:val="7"/>
        </w:numPr>
        <w:spacing w:lineRule="auto" w:line="360" w:before="0" w:afterAutospacing="1"/>
        <w:ind w:left="1276" w:hanging="425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outras receitas correntes.</w:t>
      </w:r>
    </w:p>
    <w:p>
      <w:pPr>
        <w:pStyle w:val="Normal"/>
        <w:spacing w:lineRule="auto" w:line="360" w:before="0" w:after="0"/>
        <w:ind w:left="851" w:hanging="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auto" w:line="360" w:before="0" w:after="0"/>
        <w:ind w:left="851" w:hanging="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DE CAPITAL</w:t>
      </w:r>
    </w:p>
    <w:p>
      <w:pPr>
        <w:pStyle w:val="Normal"/>
        <w:numPr>
          <w:ilvl w:val="0"/>
          <w:numId w:val="7"/>
        </w:numPr>
        <w:spacing w:lineRule="auto" w:line="360" w:beforeAutospacing="1" w:after="0"/>
        <w:ind w:left="1276" w:hanging="425"/>
        <w:jc w:val="both"/>
        <w:rPr>
          <w:b/>
          <w:b/>
          <w:bCs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de exercícios anteriores (superávit financeiro); e</w:t>
      </w:r>
    </w:p>
    <w:p>
      <w:pPr>
        <w:pStyle w:val="Normal"/>
        <w:numPr>
          <w:ilvl w:val="0"/>
          <w:numId w:val="7"/>
        </w:numPr>
        <w:spacing w:lineRule="auto" w:line="360" w:before="0" w:afterAutospacing="1"/>
        <w:ind w:left="1276" w:hanging="425"/>
        <w:jc w:val="both"/>
        <w:rPr>
          <w:b/>
          <w:b/>
          <w:bCs/>
          <w:sz w:val="24"/>
          <w:szCs w:val="24"/>
        </w:rPr>
      </w:pPr>
      <w:r>
        <w:rPr>
          <w:rFonts w:eastAsia="Calibri" w:cs="Calibri"/>
          <w:sz w:val="24"/>
          <w:szCs w:val="24"/>
        </w:rPr>
        <w:t>outras receitas de capital.</w:t>
      </w:r>
    </w:p>
    <w:p>
      <w:pPr>
        <w:pStyle w:val="Ttulo3"/>
        <w:numPr>
          <w:ilvl w:val="2"/>
          <w:numId w:val="31"/>
        </w:numPr>
        <w:ind w:left="495" w:right="253" w:hanging="495"/>
        <w:rPr/>
      </w:pPr>
      <w:bookmarkStart w:id="113" w:name="_Toc78546294"/>
      <w:bookmarkStart w:id="114" w:name="_Toc45579766"/>
      <w:bookmarkStart w:id="115" w:name="_Toc45579496"/>
      <w:bookmarkStart w:id="116" w:name="_Toc45573327"/>
      <w:bookmarkStart w:id="117" w:name="_Toc45572862"/>
      <w:bookmarkStart w:id="118" w:name="_Toc45571697"/>
      <w:bookmarkStart w:id="119" w:name="_Toc45563857"/>
      <w:bookmarkStart w:id="120" w:name="_Toc485391704"/>
      <w:bookmarkStart w:id="121" w:name="_Toc485394110"/>
      <w:bookmarkStart w:id="122" w:name="_Toc485395022"/>
      <w:bookmarkStart w:id="123" w:name="_Toc485637460"/>
      <w:bookmarkStart w:id="124" w:name="_Toc485638370"/>
      <w:bookmarkStart w:id="125" w:name="_Toc516740791"/>
      <w:bookmarkStart w:id="126" w:name="_Toc517110690"/>
      <w:bookmarkStart w:id="127" w:name="_Toc517111541"/>
      <w:bookmarkStart w:id="128" w:name="_Toc517111664"/>
      <w:bookmarkStart w:id="129" w:name="_Toc517111943"/>
      <w:bookmarkStart w:id="130" w:name="_Toc517188800"/>
      <w:bookmarkStart w:id="131" w:name="_Toc517194134"/>
      <w:bookmarkStart w:id="132" w:name="_Toc518381385"/>
      <w:bookmarkStart w:id="133" w:name="_Toc12119514"/>
      <w:bookmarkStart w:id="134" w:name="_Toc12120525"/>
      <w:bookmarkStart w:id="135" w:name="_Toc12185169"/>
      <w:bookmarkStart w:id="136" w:name="_Toc12204955"/>
      <w:bookmarkStart w:id="137" w:name="_Toc12224843"/>
      <w:bookmarkStart w:id="138" w:name="_Toc12224985"/>
      <w:bookmarkStart w:id="139" w:name="_Toc12225190"/>
      <w:bookmarkStart w:id="140" w:name="_Toc45533887"/>
      <w:r>
        <w:rPr/>
        <w:t>Receitas de Arrecadação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>
      <w:pPr>
        <w:pStyle w:val="Normal"/>
        <w:spacing w:lineRule="auto" w:line="360"/>
        <w:ind w:firstLine="851"/>
        <w:jc w:val="both"/>
        <w:rPr>
          <w:rFonts w:cs="Calibri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A reestimativa das </w:t>
      </w:r>
      <w:r>
        <w:rPr>
          <w:rFonts w:cs="Calibri"/>
          <w:b/>
          <w:bCs/>
          <w:color w:val="000000" w:themeColor="text1"/>
          <w:sz w:val="24"/>
          <w:szCs w:val="24"/>
        </w:rPr>
        <w:t>receitas de arrecadação do exercício</w:t>
      </w:r>
      <w:r>
        <w:rPr>
          <w:rFonts w:cs="Calibri"/>
          <w:color w:val="000000" w:themeColor="text1"/>
          <w:sz w:val="24"/>
          <w:szCs w:val="24"/>
        </w:rPr>
        <w:t xml:space="preserve">, considerando o realizado no período  </w:t>
      </w:r>
      <w:r>
        <w:rPr>
          <w:rFonts w:cs="Calibri"/>
          <w:b/>
          <w:color w:val="000000" w:themeColor="text1"/>
          <w:sz w:val="24"/>
          <w:szCs w:val="24"/>
        </w:rPr>
        <w:t>01 de janeiro a 19 de maio/2021</w:t>
      </w:r>
      <w:r>
        <w:rPr>
          <w:rFonts w:cs="Calibri"/>
          <w:color w:val="000000" w:themeColor="text1"/>
          <w:sz w:val="24"/>
          <w:szCs w:val="24"/>
        </w:rPr>
        <w:t xml:space="preserve"> (fonte: SICCAU), e a projeção para o período </w:t>
      </w:r>
      <w:r>
        <w:rPr>
          <w:rFonts w:cs="Calibri"/>
          <w:b/>
          <w:color w:val="000000" w:themeColor="text1"/>
          <w:sz w:val="24"/>
          <w:szCs w:val="24"/>
        </w:rPr>
        <w:t>20 de maio a 31 de dezembro/2021</w:t>
      </w:r>
      <w:r>
        <w:rPr>
          <w:rFonts w:cs="Calibri"/>
          <w:color w:val="000000" w:themeColor="text1"/>
          <w:sz w:val="24"/>
          <w:szCs w:val="24"/>
        </w:rPr>
        <w:t xml:space="preserve">, totaliza </w:t>
      </w:r>
      <w:r>
        <w:rPr>
          <w:rFonts w:cs="Calibri"/>
          <w:b/>
          <w:sz w:val="24"/>
          <w:szCs w:val="24"/>
        </w:rPr>
        <w:t>R$ 161,29 milhões</w:t>
      </w:r>
      <w:r>
        <w:rPr>
          <w:rFonts w:cs="Calibri"/>
          <w:sz w:val="24"/>
          <w:szCs w:val="24"/>
        </w:rPr>
        <w:t xml:space="preserve">, o que representa um aumento </w:t>
      </w:r>
      <w:r>
        <w:rPr>
          <w:rFonts w:cs="Calibri"/>
          <w:b/>
          <w:sz w:val="24"/>
          <w:szCs w:val="24"/>
        </w:rPr>
        <w:t>de 2,6%</w:t>
      </w:r>
      <w:r>
        <w:rPr>
          <w:rFonts w:cs="Calibri"/>
          <w:sz w:val="24"/>
          <w:szCs w:val="24"/>
        </w:rPr>
        <w:t xml:space="preserve"> frente às estimativas iniciais de </w:t>
      </w:r>
      <w:r>
        <w:rPr>
          <w:rFonts w:cs="Calibri"/>
          <w:b/>
          <w:sz w:val="24"/>
          <w:szCs w:val="24"/>
        </w:rPr>
        <w:t>R$ 157,24</w:t>
      </w:r>
      <w:r>
        <w:rPr>
          <w:rFonts w:cs="Calibri"/>
          <w:sz w:val="24"/>
          <w:szCs w:val="24"/>
        </w:rPr>
        <w:t xml:space="preserve"> milhões. A essa reestimativa estão sendo acrescidos os valores decorrentes da arrecadação de exercícios anteriores no montante de </w:t>
      </w:r>
      <w:r>
        <w:rPr>
          <w:rFonts w:cs="Calibri"/>
          <w:b/>
          <w:sz w:val="24"/>
          <w:szCs w:val="24"/>
        </w:rPr>
        <w:t>R$ 16,42 milhões,</w:t>
      </w:r>
      <w:r>
        <w:rPr>
          <w:rFonts w:cs="Calibri"/>
          <w:sz w:val="24"/>
          <w:szCs w:val="24"/>
        </w:rPr>
        <w:t xml:space="preserve"> elevando o </w:t>
      </w:r>
      <w:r>
        <w:rPr>
          <w:rFonts w:cs="Calibri"/>
          <w:b/>
          <w:bCs/>
          <w:sz w:val="24"/>
          <w:szCs w:val="24"/>
        </w:rPr>
        <w:t xml:space="preserve">montante total </w:t>
      </w:r>
      <w:r>
        <w:rPr>
          <w:rFonts w:cs="Calibri"/>
          <w:sz w:val="24"/>
          <w:szCs w:val="24"/>
        </w:rPr>
        <w:t xml:space="preserve">de receitas de arrecadação em 2021, para </w:t>
      </w:r>
      <w:r>
        <w:rPr>
          <w:rFonts w:cs="Calibri"/>
          <w:b/>
          <w:sz w:val="24"/>
          <w:szCs w:val="24"/>
        </w:rPr>
        <w:t>R$ 177,71 milhões</w:t>
      </w:r>
      <w:r>
        <w:rPr>
          <w:rFonts w:cs="Calibri"/>
          <w:sz w:val="24"/>
          <w:szCs w:val="24"/>
        </w:rPr>
        <w:t xml:space="preserve">, resultando numa variação positiva de </w:t>
      </w:r>
      <w:r>
        <w:rPr>
          <w:rFonts w:cs="Calibri"/>
          <w:b/>
          <w:sz w:val="24"/>
          <w:szCs w:val="24"/>
        </w:rPr>
        <w:t>2,9%.</w:t>
      </w:r>
    </w:p>
    <w:p>
      <w:pPr>
        <w:pStyle w:val="Normal"/>
        <w:spacing w:lineRule="auto" w:line="360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Importante mencionar que, pelos estudos realizados para a projeção das receitas de arrecadação para o exercício de 2021, frente às projeções dos órgãos oficiais, na forma demonstrada nas Diretrizes para Elaboração do Plano de Ação e Orçamento do CAU – exercício 2021, foi estimado o índice de </w:t>
      </w:r>
      <w:r>
        <w:rPr>
          <w:rFonts w:cs="Calibri"/>
          <w:b/>
          <w:color w:val="000000" w:themeColor="text1"/>
          <w:sz w:val="24"/>
          <w:szCs w:val="24"/>
        </w:rPr>
        <w:t>2,09%</w:t>
      </w:r>
      <w:r>
        <w:rPr>
          <w:rFonts w:cs="Calibri"/>
          <w:color w:val="000000" w:themeColor="text1"/>
          <w:sz w:val="24"/>
          <w:szCs w:val="24"/>
        </w:rPr>
        <w:t xml:space="preserve">  para a correção do INPC (Índice Nacional de Preços ao Consumidor), porém os valores foram recalculados, considerando a Deliberação Plenária </w:t>
      </w:r>
      <w:r>
        <w:rPr>
          <w:rFonts w:cs="Calibri"/>
          <w:b/>
          <w:bCs/>
          <w:color w:val="000000" w:themeColor="text1"/>
          <w:sz w:val="24"/>
          <w:szCs w:val="24"/>
        </w:rPr>
        <w:t>DPOBR nº 0108-05/2021</w:t>
      </w:r>
      <w:r>
        <w:rPr>
          <w:rFonts w:cs="Calibri"/>
          <w:color w:val="000000" w:themeColor="text1"/>
          <w:sz w:val="24"/>
          <w:szCs w:val="24"/>
        </w:rPr>
        <w:t>, que aprovou a suspensão da aplicação dos reajustes de anuidades e da taxa de Registro de Responsabilidade Técnica (RRT) e taxa de emissão de carteira de identificação profissional.</w:t>
      </w:r>
    </w:p>
    <w:p>
      <w:pPr>
        <w:pStyle w:val="Normal"/>
        <w:spacing w:lineRule="auto" w:line="360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Nesse contexto, os valores de anuidades e RRT revistos para 2021, a serem utilizados pelo CAU na reestimativa de suas receitas, estão apresentados no Quadro 1 a seguir: </w:t>
      </w:r>
    </w:p>
    <w:p>
      <w:pPr>
        <w:pStyle w:val="Quadros"/>
        <w:jc w:val="right"/>
        <w:rPr>
          <w:rFonts w:cs="Calibri"/>
          <w:color w:val="000000" w:themeColor="text1"/>
        </w:rPr>
      </w:pPr>
      <w:bookmarkStart w:id="141" w:name="_Toc45579767"/>
      <w:bookmarkStart w:id="142" w:name="_Toc45533888"/>
      <w:r>
        <w:rPr>
          <w:color w:val="000000" w:themeColor="text1"/>
        </w:rPr>
        <w:t>Quadro 1. Valor de anuidades e RRT</w:t>
      </w:r>
      <w:bookmarkEnd w:id="141"/>
      <w:bookmarkEnd w:id="142"/>
    </w:p>
    <w:tbl>
      <w:tblPr>
        <w:tblpPr w:vertAnchor="text" w:horzAnchor="text" w:leftFromText="141" w:rightFromText="141" w:tblpX="1" w:tblpY="1"/>
        <w:tblW w:w="8380" w:type="dxa"/>
        <w:jc w:val="left"/>
        <w:tblInd w:w="-1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2260"/>
        <w:gridCol w:w="2860"/>
        <w:gridCol w:w="3260"/>
      </w:tblGrid>
      <w:tr>
        <w:trPr>
          <w:trHeight w:val="585" w:hRule="atLeast"/>
        </w:trPr>
        <w:tc>
          <w:tcPr>
            <w:tcW w:w="22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000000" w:fill="0066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>ESPECIFICAÇÃO</w:t>
            </w:r>
          </w:p>
        </w:tc>
        <w:tc>
          <w:tcPr>
            <w:tcW w:w="2860" w:type="dxa"/>
            <w:tcBorders>
              <w:top w:val="single" w:sz="8" w:space="0" w:color="FFFFFF"/>
              <w:right w:val="single" w:sz="8" w:space="0" w:color="FFFFFF"/>
            </w:tcBorders>
            <w:shd w:color="000000" w:fill="0066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>PROGRAMAÇÃO</w:t>
              <w:br/>
              <w:t>2021</w:t>
            </w:r>
          </w:p>
        </w:tc>
        <w:tc>
          <w:tcPr>
            <w:tcW w:w="3260" w:type="dxa"/>
            <w:tcBorders>
              <w:top w:val="single" w:sz="8" w:space="0" w:color="FFFFFF"/>
              <w:right w:val="single" w:sz="8" w:space="0" w:color="FFFFFF"/>
            </w:tcBorders>
            <w:shd w:color="000000" w:fill="0066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>REPROGRAMAÇÃO</w:t>
              <w:br/>
              <w:t>2021¹</w:t>
            </w:r>
          </w:p>
        </w:tc>
      </w:tr>
      <w:tr>
        <w:trPr>
          <w:trHeight w:val="465" w:hRule="atLeast"/>
        </w:trPr>
        <w:tc>
          <w:tcPr>
            <w:tcW w:w="2260" w:type="dxa"/>
            <w:vMerge w:val="continue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</w:r>
          </w:p>
        </w:tc>
        <w:tc>
          <w:tcPr>
            <w:tcW w:w="2860" w:type="dxa"/>
            <w:tcBorders>
              <w:bottom w:val="single" w:sz="8" w:space="0" w:color="FFFFFF"/>
              <w:right w:val="single" w:sz="8" w:space="0" w:color="FFFFFF"/>
            </w:tcBorders>
            <w:shd w:color="000000" w:fill="0066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>Valor previsto (R$)</w:t>
            </w:r>
          </w:p>
        </w:tc>
        <w:tc>
          <w:tcPr>
            <w:tcW w:w="3260" w:type="dxa"/>
            <w:tcBorders>
              <w:bottom w:val="single" w:sz="8" w:space="0" w:color="FFFFFF"/>
              <w:right w:val="single" w:sz="8" w:space="0" w:color="FFFFFF"/>
            </w:tcBorders>
            <w:shd w:color="000000" w:fill="0066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>Valor efetivado (R$)</w:t>
            </w:r>
          </w:p>
        </w:tc>
      </w:tr>
      <w:tr>
        <w:trPr>
          <w:trHeight w:val="810" w:hRule="atLeast"/>
        </w:trPr>
        <w:tc>
          <w:tcPr>
            <w:tcW w:w="226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Anuidade (PF e PJ)</w:t>
            </w:r>
          </w:p>
        </w:tc>
        <w:tc>
          <w:tcPr>
            <w:tcW w:w="2860" w:type="dxa"/>
            <w:tcBorders>
              <w:bottom w:val="single" w:sz="8" w:space="0" w:color="FFFFFF"/>
              <w:right w:val="single" w:sz="8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583,35</w:t>
            </w:r>
          </w:p>
        </w:tc>
        <w:tc>
          <w:tcPr>
            <w:tcW w:w="3260" w:type="dxa"/>
            <w:tcBorders>
              <w:bottom w:val="single" w:sz="8" w:space="0" w:color="FFFFFF"/>
              <w:right w:val="single" w:sz="8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571,41</w:t>
            </w:r>
          </w:p>
        </w:tc>
      </w:tr>
      <w:tr>
        <w:trPr>
          <w:trHeight w:val="810" w:hRule="atLeast"/>
        </w:trPr>
        <w:tc>
          <w:tcPr>
            <w:tcW w:w="226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RRT</w:t>
            </w:r>
          </w:p>
        </w:tc>
        <w:tc>
          <w:tcPr>
            <w:tcW w:w="2860" w:type="dxa"/>
            <w:tcBorders>
              <w:bottom w:val="single" w:sz="8" w:space="0" w:color="FFFFFF"/>
              <w:right w:val="single" w:sz="8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100,00</w:t>
            </w:r>
          </w:p>
        </w:tc>
        <w:tc>
          <w:tcPr>
            <w:tcW w:w="3260" w:type="dxa"/>
            <w:tcBorders>
              <w:bottom w:val="single" w:sz="8" w:space="0" w:color="FFFFFF"/>
              <w:right w:val="single" w:sz="8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97,95</w:t>
            </w:r>
          </w:p>
        </w:tc>
      </w:tr>
    </w:tbl>
    <w:p>
      <w:pPr>
        <w:pStyle w:val="Normal"/>
        <w:spacing w:lineRule="auto" w:line="360" w:before="0" w:after="0"/>
        <w:jc w:val="both"/>
        <w:rPr>
          <w:rFonts w:cs="Arial"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cs="Arial"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</w:r>
    </w:p>
    <w:tbl>
      <w:tblPr>
        <w:tblW w:w="838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8380"/>
      </w:tblGrid>
      <w:tr>
        <w:trPr>
          <w:trHeight w:val="300" w:hRule="atLeast"/>
        </w:trPr>
        <w:tc>
          <w:tcPr>
            <w:tcW w:w="83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color="000000" w:fill="D9D9D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563C1"/>
                <w:u w:val="single"/>
                <w:lang w:eastAsia="pt-BR"/>
              </w:rPr>
            </w:pPr>
            <w:hyperlink r:id="rId3">
              <w:r>
                <w:rPr>
                  <w:rFonts w:eastAsia="Times New Roman" w:cs="Calibri"/>
                  <w:color w:val="0563C1"/>
                  <w:u w:val="single"/>
                  <w:lang w:eastAsia="pt-BR"/>
                </w:rPr>
                <w:t>¹https://transparencia.caubr.gov.br/deliberacao-plenaria-dpobr-0108-05-2/</w:t>
              </w:r>
            </w:hyperlink>
          </w:p>
        </w:tc>
      </w:tr>
      <w:tr>
        <w:trPr>
          <w:trHeight w:val="315" w:hRule="atLeast"/>
        </w:trPr>
        <w:tc>
          <w:tcPr>
            <w:tcW w:w="83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D9D9D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Suspensão dos reajustes nos valores de anuidades e RRT para 2021</w:t>
            </w:r>
          </w:p>
        </w:tc>
      </w:tr>
    </w:tbl>
    <w:p>
      <w:pPr>
        <w:pStyle w:val="Normal"/>
        <w:spacing w:lineRule="auto" w:line="360" w:before="0" w:after="0"/>
        <w:rPr>
          <w:rFonts w:cs="Arial"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cs="Arial"/>
          <w:b/>
          <w:b/>
          <w:bCs/>
          <w:i/>
          <w:i/>
          <w:iCs/>
          <w:color w:val="000000" w:themeColor="text1"/>
          <w:sz w:val="24"/>
          <w:szCs w:val="24"/>
        </w:rPr>
      </w:pPr>
      <w:r>
        <w:rPr>
          <w:rFonts w:cs="Arial"/>
          <w:b/>
          <w:bCs/>
          <w:i/>
          <w:iCs/>
          <w:color w:val="000000" w:themeColor="text1"/>
          <w:sz w:val="24"/>
          <w:szCs w:val="24"/>
        </w:rPr>
        <w:t>Considerando que o SICCAU encontra-se em processo de atualização decorrente da implantação da  Resolução nº 193/2020, em 19 de maio/2021, data do corte, foram utilizadas as informações do base de dados do SICCAU extraídas pela equipe do IGEO.</w:t>
      </w:r>
      <w:bookmarkStart w:id="143" w:name="_Hlk74816218"/>
      <w:bookmarkEnd w:id="143"/>
    </w:p>
    <w:p>
      <w:pPr>
        <w:pStyle w:val="Normal"/>
        <w:spacing w:lineRule="auto" w:line="360" w:before="0" w:after="0"/>
        <w:ind w:firstLine="708"/>
        <w:jc w:val="both"/>
        <w:rPr>
          <w:rFonts w:cs="Arial"/>
          <w:strike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Com base nas informações extraídas</w:t>
      </w:r>
      <w:r>
        <w:rPr>
          <w:rFonts w:cs="Arial"/>
          <w:sz w:val="24"/>
          <w:szCs w:val="24"/>
        </w:rPr>
        <w:t>, a quantidade de arquitetos e urbanistas ativos</w:t>
      </w:r>
      <w:r>
        <w:rPr>
          <w:rStyle w:val="Ncoradanotaderodap"/>
          <w:rFonts w:cs="Arial"/>
          <w:sz w:val="24"/>
          <w:szCs w:val="24"/>
        </w:rPr>
        <w:footnoteReference w:id="2"/>
      </w:r>
      <w:r>
        <w:rPr>
          <w:rFonts w:cs="Arial"/>
          <w:sz w:val="24"/>
          <w:szCs w:val="24"/>
        </w:rPr>
        <w:t xml:space="preserve"> no CAU situava-se em </w:t>
      </w:r>
      <w:r>
        <w:rPr>
          <w:rFonts w:cs="Arial"/>
          <w:b/>
          <w:sz w:val="24"/>
          <w:szCs w:val="24"/>
        </w:rPr>
        <w:t>199.807</w:t>
      </w:r>
      <w:r>
        <w:rPr>
          <w:rFonts w:cs="Arial"/>
          <w:sz w:val="24"/>
          <w:szCs w:val="24"/>
        </w:rPr>
        <w:t xml:space="preserve"> profissionais, ou 98,7% do previsto (202.491). Considerando a quantidade de </w:t>
      </w:r>
      <w:r>
        <w:rPr>
          <w:rFonts w:cs="Arial"/>
          <w:b/>
          <w:bCs/>
          <w:sz w:val="24"/>
          <w:szCs w:val="24"/>
        </w:rPr>
        <w:t>10.206</w:t>
      </w:r>
      <w:r>
        <w:rPr>
          <w:rFonts w:cs="Arial"/>
          <w:sz w:val="24"/>
          <w:szCs w:val="24"/>
        </w:rPr>
        <w:t xml:space="preserve"> profissionais isentos de pagamentos de anuidades, o potencial de pagantes</w:t>
      </w:r>
      <w:r>
        <w:rPr>
          <w:rStyle w:val="Ncoradanotaderodap"/>
          <w:rFonts w:cs="Arial"/>
          <w:sz w:val="24"/>
          <w:szCs w:val="24"/>
        </w:rPr>
        <w:footnoteReference w:id="3"/>
      </w:r>
      <w:r>
        <w:rPr>
          <w:rFonts w:cs="Arial"/>
          <w:sz w:val="24"/>
          <w:szCs w:val="24"/>
        </w:rPr>
        <w:t xml:space="preserve"> situou-se em </w:t>
      </w:r>
      <w:r>
        <w:rPr>
          <w:rFonts w:cs="Arial"/>
          <w:b/>
          <w:bCs/>
          <w:sz w:val="24"/>
          <w:szCs w:val="24"/>
        </w:rPr>
        <w:t>189.601</w:t>
      </w:r>
      <w:r>
        <w:rPr>
          <w:rFonts w:cs="Arial"/>
          <w:sz w:val="24"/>
          <w:szCs w:val="24"/>
        </w:rPr>
        <w:t xml:space="preserve"> profissionais, representado uma adimplência média de 57,0%, ou </w:t>
      </w:r>
      <w:r>
        <w:rPr>
          <w:rFonts w:cs="Arial"/>
          <w:b/>
          <w:bCs/>
          <w:sz w:val="24"/>
          <w:szCs w:val="24"/>
        </w:rPr>
        <w:t>108.158</w:t>
      </w:r>
      <w:r>
        <w:rPr>
          <w:rFonts w:cs="Arial"/>
          <w:sz w:val="24"/>
          <w:szCs w:val="24"/>
        </w:rPr>
        <w:t xml:space="preserve"> arquitetos e urbanistas pagantes. Nesse contexto, a inadimplência média situou-se em 43,0%, ou seja, dos profissionais ativos, </w:t>
      </w:r>
      <w:r>
        <w:rPr>
          <w:rFonts w:cs="Arial"/>
          <w:b/>
          <w:bCs/>
          <w:sz w:val="24"/>
          <w:szCs w:val="24"/>
        </w:rPr>
        <w:t>81.443</w:t>
      </w:r>
      <w:r>
        <w:rPr>
          <w:rFonts w:cs="Arial"/>
          <w:sz w:val="24"/>
          <w:szCs w:val="24"/>
        </w:rPr>
        <w:t xml:space="preserve"> não haviam efetuado pagamento da anuidade 2021 até a data do corte (Anexo V). Cabe ressaltar que a Deliberação Plenária DPOBR nº 0109-02, aprovou o cancelamento da aplicação dos reajustes de anuidades</w:t>
      </w:r>
      <w:r>
        <w:rPr>
          <w:rFonts w:cs="Arial"/>
          <w:strike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e da taxa de Registros e Responsabilidade Técnica (RRT). </w:t>
      </w:r>
    </w:p>
    <w:p>
      <w:pPr>
        <w:pStyle w:val="Normal"/>
        <w:spacing w:lineRule="auto" w:line="360" w:before="0" w:after="0"/>
        <w:ind w:firstLine="70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Os profissionais pagantes, no período de janeiro a 19 de maio/2021 (108.158), responderam por aproximadamente 82,0% dos pagantes previstos para o exercício (131.281), conforme Anexo V. Frente a esses resultados, para que as metas estabelecidas sejam alcançadas, há a necessidade de adoção de medidas de gestão objetivando a: </w:t>
      </w:r>
      <w:r>
        <w:rPr>
          <w:rFonts w:cs="Arial"/>
          <w:b/>
          <w:bCs/>
          <w:sz w:val="24"/>
          <w:szCs w:val="24"/>
        </w:rPr>
        <w:t>(i) controle dos níveis de inadimplência</w:t>
      </w:r>
      <w:r>
        <w:rPr>
          <w:rFonts w:cs="Arial"/>
          <w:sz w:val="24"/>
          <w:szCs w:val="24"/>
        </w:rPr>
        <w:t>; e</w:t>
      </w:r>
      <w:r>
        <w:rPr>
          <w:rFonts w:cs="Arial"/>
          <w:b/>
          <w:bCs/>
          <w:sz w:val="24"/>
          <w:szCs w:val="24"/>
        </w:rPr>
        <w:t xml:space="preserve"> (ii)</w:t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b/>
          <w:bCs/>
          <w:sz w:val="24"/>
          <w:szCs w:val="24"/>
        </w:rPr>
        <w:t>proporcionar aos profissionais condições de quitar suas obrigações com o Conselho.</w:t>
      </w:r>
      <w:r>
        <w:rPr>
          <w:rFonts w:cs="Arial"/>
          <w:sz w:val="24"/>
          <w:szCs w:val="24"/>
        </w:rPr>
        <w:t xml:space="preserve"> </w:t>
      </w:r>
    </w:p>
    <w:p>
      <w:pPr>
        <w:pStyle w:val="Normal"/>
        <w:spacing w:lineRule="auto" w:line="360" w:before="0" w:after="0"/>
        <w:ind w:firstLine="70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Ainda no tocante aos profissionais ativos previstos para 2021 (202.491) e o índice de efetivação no período (98,7%), conforme as informações disponíveis, no SICCAU/IGEO, verifica-se que a meta proposta possui tendência de atingimento na maioria dos CAU/UF para ser superada. Considerando esse resultado, e a projeção para o período 20 de maio a 31 de dezembro/21, </w:t>
      </w:r>
      <w:r>
        <w:rPr>
          <w:rFonts w:cs="Arial"/>
          <w:b/>
          <w:i/>
          <w:sz w:val="24"/>
          <w:szCs w:val="24"/>
        </w:rPr>
        <w:t>a meta revista para o exercício de 2021, e apresentada nesta proposta de reprogramação, é de 205.822 profissionais ativos</w:t>
      </w:r>
      <w:r>
        <w:rPr>
          <w:rFonts w:cs="Arial"/>
          <w:sz w:val="24"/>
          <w:szCs w:val="24"/>
        </w:rPr>
        <w:t xml:space="preserve"> (Anexo I e V), refletindo um acréscimo de 1,6% frente ao previsto na Programação 2021 (202.491). Importante mencionar que a previsão de egressos</w:t>
      </w:r>
      <w:r>
        <w:rPr>
          <w:rStyle w:val="Ncoradanotaderodap"/>
          <w:rFonts w:cs="Arial"/>
          <w:sz w:val="24"/>
          <w:szCs w:val="24"/>
        </w:rPr>
        <w:footnoteReference w:id="4"/>
      </w:r>
      <w:r>
        <w:rPr>
          <w:rFonts w:cs="Arial"/>
          <w:sz w:val="24"/>
          <w:szCs w:val="24"/>
        </w:rPr>
        <w:t xml:space="preserve"> para o exercício, 11.786, no período de janeiro a 19 de maio/21, apresentou uma efetivação de 36,1% (4.257 registros), sendo revista a projeção para 10.272, ou uma redução de 12,8%, visando acompanhar a queda de egressos registrados no SICCAU/IGEO na data do corte.</w:t>
      </w:r>
    </w:p>
    <w:p>
      <w:pPr>
        <w:pStyle w:val="Normal"/>
        <w:spacing w:lineRule="auto" w:line="360" w:before="0" w:after="0"/>
        <w:ind w:firstLine="708"/>
        <w:jc w:val="both"/>
        <w:rPr>
          <w:rFonts w:cs="Arial"/>
          <w:strike/>
          <w:sz w:val="24"/>
          <w:szCs w:val="24"/>
        </w:rPr>
      </w:pPr>
      <w:r>
        <w:rPr>
          <w:rFonts w:cs="Arial"/>
          <w:sz w:val="24"/>
          <w:szCs w:val="24"/>
        </w:rPr>
        <w:t xml:space="preserve">Quanto a quantidade das empresas de arquitetura e urbanismo, totalizaram </w:t>
      </w:r>
      <w:r>
        <w:rPr>
          <w:rFonts w:cs="Arial"/>
          <w:b/>
          <w:bCs/>
          <w:sz w:val="24"/>
          <w:szCs w:val="24"/>
        </w:rPr>
        <w:t xml:space="preserve">27.421 </w:t>
      </w:r>
      <w:r>
        <w:rPr>
          <w:rFonts w:cs="Arial"/>
          <w:sz w:val="24"/>
          <w:szCs w:val="24"/>
        </w:rPr>
        <w:t>ativas</w:t>
      </w:r>
      <w:r>
        <w:rPr>
          <w:rStyle w:val="Ncoradanotaderodap"/>
          <w:rFonts w:cs="Arial"/>
          <w:sz w:val="24"/>
          <w:szCs w:val="24"/>
        </w:rPr>
        <w:footnoteReference w:id="5"/>
      </w:r>
      <w:r>
        <w:rPr>
          <w:rFonts w:cs="Arial"/>
          <w:sz w:val="24"/>
          <w:szCs w:val="24"/>
        </w:rPr>
        <w:t xml:space="preserve"> , com adimplência média até a data do corte de 17,3%, ou </w:t>
      </w:r>
      <w:r>
        <w:rPr>
          <w:rFonts w:cs="Arial"/>
          <w:b/>
          <w:bCs/>
          <w:sz w:val="24"/>
          <w:szCs w:val="24"/>
        </w:rPr>
        <w:t>4.757</w:t>
      </w:r>
      <w:r>
        <w:rPr>
          <w:rFonts w:cs="Arial"/>
          <w:sz w:val="24"/>
          <w:szCs w:val="24"/>
        </w:rPr>
        <w:t xml:space="preserve"> empresas pagantes de anuidades. Cabe ressaltar que a Resolução 193 deslocou os prazos para o pagamento de Pessoas Jurídicas para o 2º semestre. </w:t>
      </w:r>
    </w:p>
    <w:p>
      <w:pPr>
        <w:pStyle w:val="Normal"/>
        <w:spacing w:lineRule="auto" w:line="360" w:before="0" w:after="0"/>
        <w:ind w:firstLine="70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 posição de empresas ativas, no período janeiro a 19 de maio/2021 (27.421) apresenta um atingimento de 96,1% ao projetado para o exercício (28.545). As empresas pagantes (4.757) refletem, aproximadamente, o índice de 33,7% do previsto para o exercício (14.135), conforme demonstrado no Anexo VI. Frente a esses resultados, para que as metas estabelecidas sejam alcançadas, há a necessidade de adoção de medidas de gestão objetivando a: </w:t>
      </w:r>
      <w:r>
        <w:rPr>
          <w:rFonts w:cs="Arial"/>
          <w:b/>
          <w:bCs/>
          <w:sz w:val="24"/>
          <w:szCs w:val="24"/>
        </w:rPr>
        <w:t>(i) controle dos níveis de inadimplência; e (ii) proporcionar às empresas de arquitetura e urbanismo condições de quitar suas obrigações com o Conselho</w:t>
      </w:r>
      <w:r>
        <w:rPr>
          <w:rFonts w:cs="Arial"/>
          <w:sz w:val="24"/>
          <w:szCs w:val="24"/>
        </w:rPr>
        <w:t xml:space="preserve">. </w:t>
      </w:r>
    </w:p>
    <w:p>
      <w:pPr>
        <w:pStyle w:val="Normal"/>
        <w:spacing w:lineRule="auto" w:line="360" w:before="0" w:after="0"/>
        <w:ind w:firstLine="70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Ainda no tocante às empresas ativas previstas para 2021, no total de 28.545, considerando o índice de efetivação desse segmento junto ao CAU, próximo da previsão, ou seja, de 96,1%, foi efetuada revisão das previsões iniciais. Nesse contexto, e tendo em vista a representatividade de novos registros, para os CAU/UF foram consideradas as quantidades dos ativos totais executados até o dia 19/05/2021, com incremento de até 0,5% do executado, conforme cenário de cada CAU/UF.</w:t>
      </w:r>
    </w:p>
    <w:p>
      <w:pPr>
        <w:pStyle w:val="Normal"/>
        <w:spacing w:lineRule="auto" w:line="360" w:before="0" w:after="0"/>
        <w:ind w:firstLine="708"/>
        <w:jc w:val="both"/>
        <w:rPr>
          <w:rFonts w:cs="Arial"/>
          <w:b/>
          <w:b/>
          <w:i/>
          <w:i/>
          <w:sz w:val="24"/>
          <w:szCs w:val="24"/>
        </w:rPr>
      </w:pPr>
      <w:r>
        <w:rPr>
          <w:rFonts w:cs="Arial"/>
          <w:sz w:val="24"/>
          <w:szCs w:val="24"/>
        </w:rPr>
        <w:t>Dessa forma a meta prevista de 2021 foi ajustada para</w:t>
      </w:r>
      <w:r>
        <w:rPr>
          <w:rFonts w:cs="Arial"/>
          <w:b/>
          <w:i/>
          <w:sz w:val="24"/>
          <w:szCs w:val="24"/>
        </w:rPr>
        <w:t xml:space="preserve"> 28.484 empresas ativas, ou seja, uma redução média de 0,2% frente ao inicialmente previsto (28.545), representando uma redução de 61  empresas</w:t>
      </w:r>
      <w:r>
        <w:rPr>
          <w:rFonts w:cs="Arial"/>
          <w:sz w:val="24"/>
          <w:szCs w:val="24"/>
        </w:rPr>
        <w:t xml:space="preserve"> frente ao previsto </w:t>
      </w:r>
      <w:r>
        <w:rPr>
          <w:rFonts w:cs="Arial"/>
          <w:bCs/>
          <w:i/>
          <w:sz w:val="24"/>
          <w:szCs w:val="24"/>
        </w:rPr>
        <w:t>(Anexo VI)</w:t>
      </w:r>
      <w:r>
        <w:rPr>
          <w:rFonts w:cs="Arial"/>
          <w:bCs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 </w:t>
      </w:r>
    </w:p>
    <w:p>
      <w:pPr>
        <w:pStyle w:val="Normal"/>
        <w:spacing w:lineRule="auto" w:line="360" w:before="0" w:after="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Para os Registros de Responsabilidade Técnica–RRT, as informações do SICCAU/IGEO, apontaram para 352.116 RRT emitidos e pagos. Frente às projeções para 2021 (897.638), verifica-se um índice de realização de 38,4% (Anexo VII). </w:t>
      </w:r>
    </w:p>
    <w:p>
      <w:pPr>
        <w:pStyle w:val="Normal"/>
        <w:spacing w:lineRule="auto" w:line="360" w:before="0" w:after="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Considerando o resultado alcançado até 19 de maio/2021, a previsão média total de 4,4 RRT/profissional da programação 2021 foi alterada em 0,1 p.p para a reprogramação 2021, resultando em 4,5 a média reprogramada de RRT por profissional. Considerando as particularidades apontadas por cada CAU/UF para o estabelecimento das metas revistas de RRT nesta proposta de Reprogramação, a premissa adotada foi considerar a média de RRT/profissional revisada, frente à quantidade dos profissionais ativos reprogramados, considerando 50% dos novos egressos.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/>
          <w:sz w:val="24"/>
          <w:szCs w:val="24"/>
        </w:rPr>
      </w:pPr>
      <w:r>
        <w:rPr>
          <w:rFonts w:cs="Arial"/>
          <w:b/>
          <w:i/>
          <w:sz w:val="24"/>
          <w:szCs w:val="24"/>
        </w:rPr>
        <w:t>No contexto, a meta de RRT revista para o exercício de 2021, e apresentada nesta proposta de reprogramação é de 930.349  RRT (Anexo VII), apresentando um incremento de 3,6% frente ao previsto na Programação 2021 (897.638).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Com base nessas informações, para elaboração da reestimativa da arrecadação de 2021, as premissas consideradas foram: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1276" w:leader="none"/>
        </w:tabs>
        <w:spacing w:lineRule="auto" w:line="360" w:before="0" w:after="0"/>
        <w:ind w:left="1276" w:hanging="425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Receitas de arrecadação – auferidas no período janeiro a 19 de maio/2021;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1276" w:leader="none"/>
        </w:tabs>
        <w:spacing w:lineRule="auto" w:line="360" w:before="0" w:after="0"/>
        <w:ind w:left="1276" w:hanging="425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Projeções das receitas de anuidades de pessoa física e jurídica – no período de 20 de maio a 31 de dezembro/2021.</w:t>
      </w:r>
    </w:p>
    <w:p>
      <w:pPr>
        <w:pStyle w:val="Normal"/>
        <w:tabs>
          <w:tab w:val="clear" w:pos="708"/>
          <w:tab w:val="left" w:pos="1276" w:leader="none"/>
        </w:tabs>
        <w:spacing w:lineRule="auto" w:line="360" w:before="0" w:after="0"/>
        <w:ind w:left="1276" w:hanging="0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ListParagraph"/>
        <w:numPr>
          <w:ilvl w:val="0"/>
          <w:numId w:val="32"/>
        </w:numPr>
        <w:tabs>
          <w:tab w:val="clear" w:pos="708"/>
          <w:tab w:val="left" w:pos="1276" w:leader="none"/>
        </w:tabs>
        <w:spacing w:lineRule="auto" w:line="360" w:before="0" w:after="0"/>
        <w:contextualSpacing/>
        <w:jc w:val="both"/>
        <w:rPr>
          <w:rFonts w:cs="Calibri"/>
          <w:b/>
          <w:b/>
          <w:color w:val="008080"/>
          <w:sz w:val="24"/>
          <w:szCs w:val="24"/>
        </w:rPr>
      </w:pPr>
      <w:r>
        <w:rPr>
          <w:rFonts w:cs="Calibri"/>
          <w:b/>
          <w:color w:val="008080"/>
          <w:sz w:val="24"/>
          <w:szCs w:val="24"/>
        </w:rPr>
        <w:t xml:space="preserve">Projeção das receitas de anuidades de </w:t>
      </w:r>
      <w:r>
        <w:rPr>
          <w:rFonts w:cs="Calibri"/>
          <w:b/>
          <w:color w:val="008080"/>
          <w:sz w:val="24"/>
          <w:szCs w:val="24"/>
          <w:u w:val="single"/>
        </w:rPr>
        <w:t>pessoa física</w:t>
      </w:r>
      <w:r>
        <w:rPr>
          <w:rFonts w:cs="Calibri"/>
          <w:b/>
          <w:color w:val="008080"/>
          <w:sz w:val="24"/>
          <w:szCs w:val="24"/>
        </w:rPr>
        <w:t>, considerando:</w:t>
      </w:r>
    </w:p>
    <w:p>
      <w:pPr>
        <w:pStyle w:val="ListParagraph"/>
        <w:numPr>
          <w:ilvl w:val="0"/>
          <w:numId w:val="12"/>
        </w:numPr>
        <w:spacing w:lineRule="auto" w:line="360" w:before="0" w:after="0"/>
        <w:ind w:left="2268" w:hanging="283"/>
        <w:contextualSpacing/>
        <w:jc w:val="both"/>
        <w:rPr>
          <w:rFonts w:cs="Calibri"/>
          <w:b/>
          <w:b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 xml:space="preserve">Profissionais ativos (reprogramado) = </w:t>
      </w:r>
      <w:r>
        <w:rPr>
          <w:rFonts w:cs="Calibri"/>
          <w:b/>
          <w:bCs/>
          <w:sz w:val="24"/>
          <w:szCs w:val="24"/>
        </w:rPr>
        <w:t>205.822</w:t>
      </w:r>
    </w:p>
    <w:p>
      <w:pPr>
        <w:pStyle w:val="Normal"/>
        <w:spacing w:lineRule="auto" w:line="360" w:before="0" w:after="0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                                        </w:t>
      </w:r>
      <w:r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Premissa utilizada para profissionais ativos = </w:t>
      </w:r>
      <w:r>
        <w:rPr>
          <w:rFonts w:cs="Calibri"/>
          <w:color w:val="000000" w:themeColor="text1"/>
          <w:sz w:val="24"/>
          <w:szCs w:val="24"/>
        </w:rPr>
        <w:t xml:space="preserve">Total de ativos na data  </w:t>
      </w:r>
    </w:p>
    <w:p>
      <w:pPr>
        <w:pStyle w:val="Normal"/>
        <w:spacing w:lineRule="auto" w:line="360" w:before="0" w:after="0"/>
        <w:jc w:val="both"/>
        <w:rPr>
          <w:rFonts w:cs="Calibri"/>
          <w:bCs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                                         </w:t>
      </w:r>
      <w:r>
        <w:rPr>
          <w:rFonts w:cs="Calibri"/>
          <w:color w:val="000000" w:themeColor="text1"/>
          <w:sz w:val="24"/>
          <w:szCs w:val="24"/>
        </w:rPr>
        <w:t>do corte acrescido a novos egressos</w:t>
      </w:r>
    </w:p>
    <w:p>
      <w:pPr>
        <w:pStyle w:val="ListParagraph"/>
        <w:numPr>
          <w:ilvl w:val="2"/>
          <w:numId w:val="10"/>
        </w:numPr>
        <w:ind w:left="2552" w:hanging="284"/>
        <w:rPr>
          <w:rFonts w:cs="Calibri"/>
          <w:bCs/>
          <w:sz w:val="24"/>
          <w:szCs w:val="24"/>
        </w:rPr>
      </w:pPr>
      <w:r>
        <w:rPr>
          <w:rFonts w:cs="Calibri"/>
          <w:sz w:val="24"/>
          <w:szCs w:val="24"/>
        </w:rPr>
        <w:t>Egressos revisados para a Reprogramação 2021:</w:t>
      </w:r>
      <w:r>
        <w:rPr>
          <w:rFonts w:cs="Calibri"/>
          <w:bCs/>
          <w:sz w:val="24"/>
          <w:szCs w:val="24"/>
        </w:rPr>
        <w:t xml:space="preserve"> </w:t>
      </w:r>
      <w:bookmarkStart w:id="144" w:name="_Hlk74686825"/>
      <w:r>
        <w:rPr>
          <w:rFonts w:cs="Calibri"/>
          <w:b/>
          <w:bCs/>
          <w:sz w:val="24"/>
          <w:szCs w:val="24"/>
        </w:rPr>
        <w:t>10.272</w:t>
      </w:r>
      <w:bookmarkEnd w:id="144"/>
    </w:p>
    <w:p>
      <w:pPr>
        <w:pStyle w:val="ListParagraph"/>
        <w:spacing w:lineRule="auto" w:line="360" w:before="0" w:after="0"/>
        <w:ind w:left="2552" w:hanging="0"/>
        <w:contextualSpacing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Considerando: </w:t>
      </w:r>
    </w:p>
    <w:p>
      <w:pPr>
        <w:pStyle w:val="ListParagraph"/>
        <w:spacing w:lineRule="auto" w:line="360" w:before="0" w:after="0"/>
        <w:ind w:left="2552" w:hanging="0"/>
        <w:contextualSpacing/>
        <w:jc w:val="both"/>
        <w:rPr>
          <w:rFonts w:ascii="Calibri" w:hAnsi="Calibri" w:eastAsia="Times New Roman" w:cs="Calibri"/>
          <w:color w:val="000000" w:themeColor="text1"/>
        </w:rPr>
      </w:pPr>
      <w:r>
        <w:rPr>
          <w:rFonts w:eastAsia="Times New Roman" w:cs="Calibri"/>
          <w:color w:val="000000" w:themeColor="text1"/>
        </w:rPr>
        <w:t>1. execução igual ou superior a 40,0% do previsto, ao valor executado foi acrescido 60,0% da meta inicial (previsto), visando suportar os egressos decorrentes de formandos no 1º semestre/2021.</w:t>
        <w:br/>
        <w:t>2. execução INFERIOR 40,0% do previsto, ao valor executado foi acrescido 30,0% à meta inicial, visando suportar os egressos decorrentes de formandos no 1º semestre/2021, COM EXCEÇÃO para 7 Estados, que devido a série histórica, houve calibragem frente ao valor executado foi acrescido 50,0% à meta inicial  (RR,BA,SE,DF,MG,RJ,SP). Ressalta-se que foram consideradas as projeções solicitadas pelos  CAU/GO e CAU/PE.</w:t>
      </w:r>
    </w:p>
    <w:p>
      <w:pPr>
        <w:pStyle w:val="ListParagraph"/>
        <w:numPr>
          <w:ilvl w:val="2"/>
          <w:numId w:val="10"/>
        </w:numPr>
        <w:spacing w:lineRule="auto" w:line="360" w:before="0" w:after="0"/>
        <w:contextualSpacing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color w:val="000000" w:themeColor="text1"/>
          <w:sz w:val="24"/>
          <w:szCs w:val="24"/>
        </w:rPr>
        <w:t xml:space="preserve">Egressos registrados (SICCAU/IGEO até 19/05/2021): </w:t>
      </w:r>
      <w:bookmarkStart w:id="145" w:name="_Hlk74686846"/>
      <w:r>
        <w:rPr>
          <w:rFonts w:cs="Calibri"/>
          <w:b/>
          <w:sz w:val="24"/>
          <w:szCs w:val="24"/>
        </w:rPr>
        <w:t>4.257</w:t>
      </w:r>
      <w:bookmarkEnd w:id="145"/>
    </w:p>
    <w:p>
      <w:pPr>
        <w:pStyle w:val="ListParagraph"/>
        <w:numPr>
          <w:ilvl w:val="2"/>
          <w:numId w:val="10"/>
        </w:numPr>
        <w:spacing w:lineRule="auto" w:line="360" w:before="0" w:after="0"/>
        <w:contextualSpacing/>
        <w:jc w:val="both"/>
        <w:rPr>
          <w:rFonts w:cs="Calibri"/>
          <w:bCs/>
          <w:sz w:val="24"/>
          <w:szCs w:val="24"/>
        </w:rPr>
      </w:pPr>
      <w:r>
        <w:rPr>
          <w:rFonts w:cs="Calibri"/>
          <w:sz w:val="24"/>
          <w:szCs w:val="24"/>
        </w:rPr>
        <w:t xml:space="preserve">Novos Egressos com Recuperação de Inadimplência </w:t>
      </w:r>
      <w:r>
        <w:rPr>
          <w:rFonts w:cs="Calibri"/>
          <w:bCs/>
          <w:sz w:val="24"/>
          <w:szCs w:val="24"/>
        </w:rPr>
        <w:t>(projeção para 20/05 a 31/12/2021)</w:t>
      </w:r>
      <w:r>
        <w:rPr>
          <w:rFonts w:cs="Calibri"/>
          <w:sz w:val="24"/>
          <w:szCs w:val="24"/>
        </w:rPr>
        <w:t>:</w:t>
      </w:r>
      <w:r>
        <w:rPr>
          <w:rFonts w:cs="Calibri"/>
          <w:bCs/>
          <w:sz w:val="24"/>
          <w:szCs w:val="24"/>
        </w:rPr>
        <w:t xml:space="preserve"> Egressos Revisados - Egressos Registrados  considerando 70% de inadimplência, com exceção da solicitação do CAU/PE que foi de 75%: </w:t>
      </w:r>
      <w:r>
        <w:rPr>
          <w:rFonts w:cs="Calibri"/>
          <w:b/>
          <w:bCs/>
          <w:sz w:val="24"/>
          <w:szCs w:val="24"/>
        </w:rPr>
        <w:t>4.218</w:t>
      </w:r>
    </w:p>
    <w:p>
      <w:pPr>
        <w:pStyle w:val="ListParagraph"/>
        <w:spacing w:lineRule="auto" w:line="360" w:before="0" w:after="0"/>
        <w:ind w:left="2552" w:hanging="284"/>
        <w:contextualSpacing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ListParagraph"/>
        <w:numPr>
          <w:ilvl w:val="0"/>
          <w:numId w:val="12"/>
        </w:numPr>
        <w:spacing w:lineRule="auto" w:line="360" w:before="0" w:after="0"/>
        <w:ind w:left="2268" w:hanging="283"/>
        <w:contextualSpacing/>
        <w:jc w:val="both"/>
        <w:rPr>
          <w:rFonts w:cs="Calibri"/>
          <w:b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Profissionais potenciais pagantes (reprogramado) = 195.299 </w:t>
      </w:r>
    </w:p>
    <w:p>
      <w:pPr>
        <w:pStyle w:val="Normal"/>
        <w:ind w:left="1416" w:firstLine="708"/>
        <w:jc w:val="both"/>
        <w:rPr>
          <w:rFonts w:ascii="Calibri" w:hAnsi="Calibri" w:eastAsia="Times New Roman" w:cs="Calibri"/>
        </w:rPr>
      </w:pPr>
      <w:r>
        <w:rPr>
          <w:rFonts w:cs="Calibri"/>
          <w:b/>
          <w:bCs/>
          <w:i/>
          <w:iCs/>
          <w:sz w:val="24"/>
          <w:szCs w:val="24"/>
        </w:rPr>
        <w:t xml:space="preserve"> </w:t>
      </w:r>
      <w:r>
        <w:rPr>
          <w:rFonts w:cs="Calibri"/>
          <w:b/>
          <w:bCs/>
          <w:i/>
          <w:iCs/>
          <w:sz w:val="24"/>
          <w:szCs w:val="24"/>
        </w:rPr>
        <w:t xml:space="preserve">Premissa utilizada = </w:t>
      </w:r>
      <w:r>
        <w:rPr>
          <w:rFonts w:eastAsia="Times New Roman" w:cs="Calibri"/>
        </w:rPr>
        <w:t>Total de ativos Reprogramados excluindo a Quantidade</w:t>
      </w:r>
    </w:p>
    <w:p>
      <w:pPr>
        <w:pStyle w:val="Normal"/>
        <w:ind w:left="1416" w:firstLine="708"/>
        <w:jc w:val="both"/>
        <w:rPr>
          <w:rFonts w:cs="Calibri"/>
          <w:bCs/>
          <w:sz w:val="24"/>
          <w:szCs w:val="24"/>
        </w:rPr>
      </w:pPr>
      <w:r>
        <w:rPr>
          <w:rFonts w:eastAsia="Times New Roman" w:cs="Calibri"/>
        </w:rPr>
        <w:t xml:space="preserve"> </w:t>
      </w:r>
      <w:r>
        <w:rPr>
          <w:rFonts w:eastAsia="Times New Roman" w:cs="Calibri"/>
        </w:rPr>
        <w:t>de isentos previstos</w:t>
      </w:r>
      <w:r>
        <w:rPr>
          <w:rFonts w:cs="Calibri"/>
          <w:bCs/>
          <w:sz w:val="24"/>
          <w:szCs w:val="24"/>
        </w:rPr>
        <w:t xml:space="preserve"> </w:t>
      </w:r>
    </w:p>
    <w:p>
      <w:pPr>
        <w:pStyle w:val="ListParagraph"/>
        <w:ind w:left="3065" w:hanging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</w:r>
    </w:p>
    <w:p>
      <w:pPr>
        <w:pStyle w:val="ListParagraph"/>
        <w:numPr>
          <w:ilvl w:val="0"/>
          <w:numId w:val="12"/>
        </w:numPr>
        <w:spacing w:lineRule="auto" w:line="360" w:before="0" w:after="0"/>
        <w:ind w:left="2268" w:hanging="283"/>
        <w:contextualSpacing/>
        <w:jc w:val="both"/>
        <w:rPr>
          <w:rFonts w:cs="Calibri"/>
          <w:b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Profissionais pagantes (reprogramado) = </w:t>
      </w:r>
      <w:r>
        <w:rPr>
          <w:rFonts w:cs="Calibri"/>
          <w:b/>
          <w:bCs/>
          <w:sz w:val="24"/>
          <w:szCs w:val="24"/>
        </w:rPr>
        <w:t>141.540</w:t>
      </w:r>
    </w:p>
    <w:p>
      <w:pPr>
        <w:pStyle w:val="Normal"/>
        <w:spacing w:lineRule="auto" w:line="360" w:before="0" w:after="0"/>
        <w:ind w:left="1416" w:firstLine="708"/>
        <w:jc w:val="both"/>
        <w:rPr>
          <w:rFonts w:cs="Calibri"/>
          <w:i/>
          <w:i/>
          <w:iCs/>
          <w:sz w:val="24"/>
          <w:szCs w:val="24"/>
        </w:rPr>
      </w:pPr>
      <w:r>
        <w:rPr>
          <w:rFonts w:cs="Calibri"/>
          <w:b/>
          <w:bCs/>
          <w:i/>
          <w:iCs/>
          <w:sz w:val="24"/>
          <w:szCs w:val="24"/>
        </w:rPr>
        <w:t xml:space="preserve">Premissa utilizada = </w:t>
      </w:r>
      <w:r>
        <w:rPr>
          <w:rFonts w:cs="Calibri"/>
          <w:i/>
          <w:iCs/>
          <w:sz w:val="24"/>
          <w:szCs w:val="24"/>
        </w:rPr>
        <w:t xml:space="preserve">Quantidade de pagantes executados até a data de     </w:t>
      </w:r>
    </w:p>
    <w:p>
      <w:pPr>
        <w:pStyle w:val="Normal"/>
        <w:spacing w:lineRule="auto" w:line="360" w:before="0" w:after="0"/>
        <w:ind w:left="1416" w:firstLine="708"/>
        <w:jc w:val="both"/>
        <w:rPr>
          <w:rFonts w:cs="Calibri"/>
          <w:b/>
          <w:b/>
          <w:bCs/>
          <w:i/>
          <w:i/>
          <w:iCs/>
          <w:sz w:val="24"/>
          <w:szCs w:val="24"/>
        </w:rPr>
      </w:pPr>
      <w:r>
        <w:rPr>
          <w:rFonts w:cs="Calibri"/>
          <w:i/>
          <w:iCs/>
          <w:sz w:val="24"/>
          <w:szCs w:val="24"/>
        </w:rPr>
        <w:t>corte acrescido a Quantidade de pagantes projetado para o exercício</w:t>
      </w:r>
      <w:r>
        <w:rPr>
          <w:rFonts w:cs="Calibri"/>
          <w:b/>
          <w:bCs/>
          <w:i/>
          <w:iCs/>
          <w:sz w:val="24"/>
          <w:szCs w:val="24"/>
        </w:rPr>
        <w:t xml:space="preserve">, </w:t>
      </w:r>
    </w:p>
    <w:p>
      <w:pPr>
        <w:pStyle w:val="Normal"/>
        <w:spacing w:lineRule="auto" w:line="360" w:before="0" w:after="0"/>
        <w:ind w:left="1416" w:firstLine="708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com excessão do CAU/PE, CAU/GO e CAU/SP que solicitaram projeções </w:t>
      </w:r>
    </w:p>
    <w:p>
      <w:pPr>
        <w:pStyle w:val="Normal"/>
        <w:spacing w:lineRule="auto" w:line="360" w:before="0" w:after="0"/>
        <w:ind w:left="1416" w:firstLine="708"/>
        <w:jc w:val="both"/>
        <w:rPr>
          <w:rFonts w:cs="Calibri"/>
          <w:b/>
          <w:b/>
          <w:bCs/>
          <w:i/>
          <w:i/>
          <w:iCs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próprias</w:t>
      </w:r>
    </w:p>
    <w:p>
      <w:pPr>
        <w:pStyle w:val="ListParagraph"/>
        <w:spacing w:lineRule="auto" w:line="360" w:before="0" w:after="0"/>
        <w:ind w:left="3065" w:hanging="0"/>
        <w:contextualSpacing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ListParagraph"/>
        <w:numPr>
          <w:ilvl w:val="0"/>
          <w:numId w:val="11"/>
        </w:numPr>
        <w:tabs>
          <w:tab w:val="clear" w:pos="708"/>
          <w:tab w:val="left" w:pos="1276" w:leader="none"/>
        </w:tabs>
        <w:spacing w:lineRule="auto" w:line="360" w:before="0" w:after="0"/>
        <w:contextualSpacing/>
        <w:jc w:val="both"/>
        <w:rPr>
          <w:rFonts w:cs="Calibri"/>
          <w:b/>
          <w:b/>
          <w:color w:val="008080"/>
          <w:sz w:val="24"/>
          <w:szCs w:val="24"/>
        </w:rPr>
      </w:pPr>
      <w:r>
        <w:rPr>
          <w:rFonts w:cs="Calibri"/>
          <w:b/>
          <w:color w:val="008080"/>
          <w:sz w:val="24"/>
          <w:szCs w:val="24"/>
        </w:rPr>
        <w:t xml:space="preserve">Projeção das receitas de anuidades de </w:t>
      </w:r>
      <w:r>
        <w:rPr>
          <w:rFonts w:cs="Calibri"/>
          <w:b/>
          <w:color w:val="008080"/>
          <w:sz w:val="24"/>
          <w:szCs w:val="24"/>
          <w:u w:val="single"/>
        </w:rPr>
        <w:t>pessoa jurídica</w:t>
      </w:r>
      <w:r>
        <w:rPr>
          <w:rFonts w:cs="Calibri"/>
          <w:b/>
          <w:color w:val="008080"/>
          <w:sz w:val="24"/>
          <w:szCs w:val="24"/>
        </w:rPr>
        <w:t>, considerando:</w:t>
      </w:r>
    </w:p>
    <w:p>
      <w:pPr>
        <w:pStyle w:val="ListParagraph"/>
        <w:numPr>
          <w:ilvl w:val="0"/>
          <w:numId w:val="12"/>
        </w:numPr>
        <w:spacing w:lineRule="auto" w:line="360" w:before="0" w:after="0"/>
        <w:ind w:left="2268" w:hanging="283"/>
        <w:contextualSpacing/>
        <w:jc w:val="both"/>
        <w:rPr>
          <w:rFonts w:cs="Calibri"/>
          <w:b/>
          <w:b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 xml:space="preserve">Empresas ativas (reprogramado) </w:t>
      </w:r>
      <w:r>
        <w:rPr>
          <w:rFonts w:cs="Calibri"/>
          <w:b/>
          <w:sz w:val="24"/>
          <w:szCs w:val="24"/>
        </w:rPr>
        <w:t>= 28.484</w:t>
      </w:r>
    </w:p>
    <w:p>
      <w:pPr>
        <w:pStyle w:val="Normal"/>
        <w:ind w:left="1416" w:firstLine="708"/>
        <w:jc w:val="both"/>
        <w:rPr>
          <w:rFonts w:cs="Calibri"/>
          <w:bCs/>
          <w:i/>
          <w:i/>
          <w:sz w:val="24"/>
          <w:szCs w:val="24"/>
        </w:rPr>
      </w:pPr>
      <w:r>
        <w:rPr>
          <w:rFonts w:cs="Calibri"/>
          <w:b/>
          <w:bCs/>
          <w:i/>
          <w:iCs/>
          <w:sz w:val="24"/>
          <w:szCs w:val="24"/>
        </w:rPr>
        <w:t>Premissa utilizada =</w:t>
      </w:r>
      <w:r>
        <w:rPr>
          <w:rFonts w:cs="Calibri"/>
          <w:bCs/>
          <w:i/>
          <w:sz w:val="24"/>
          <w:szCs w:val="24"/>
        </w:rPr>
        <w:t xml:space="preserve"> Quantidade do Ativo Total executada acrescida do </w:t>
      </w:r>
    </w:p>
    <w:p>
      <w:pPr>
        <w:pStyle w:val="Normal"/>
        <w:ind w:left="1416" w:firstLine="708"/>
        <w:jc w:val="both"/>
        <w:rPr>
          <w:rFonts w:cs="Calibri"/>
          <w:bCs/>
          <w:i/>
          <w:i/>
          <w:sz w:val="24"/>
          <w:szCs w:val="24"/>
        </w:rPr>
      </w:pPr>
      <w:r>
        <w:rPr>
          <w:rFonts w:cs="Calibri"/>
          <w:bCs/>
          <w:i/>
          <w:sz w:val="24"/>
          <w:szCs w:val="24"/>
        </w:rPr>
        <w:t>Ativo total projetado para o exercício</w:t>
      </w:r>
    </w:p>
    <w:p>
      <w:pPr>
        <w:pStyle w:val="ListParagraph"/>
        <w:spacing w:lineRule="auto" w:line="360" w:before="0" w:after="0"/>
        <w:ind w:left="2552" w:hanging="284"/>
        <w:contextualSpacing/>
        <w:jc w:val="both"/>
        <w:rPr>
          <w:rFonts w:eastAsia="Calibri" w:cs="Arial" w:eastAsiaTheme="minorHAnsi"/>
          <w:sz w:val="24"/>
          <w:szCs w:val="24"/>
        </w:rPr>
      </w:pPr>
      <w:r>
        <w:rPr>
          <w:rFonts w:eastAsia="Calibri" w:cs="Arial" w:eastAsiaTheme="minorHAnsi"/>
          <w:sz w:val="24"/>
          <w:szCs w:val="24"/>
        </w:rPr>
      </w:r>
    </w:p>
    <w:p>
      <w:pPr>
        <w:pStyle w:val="ListParagraph"/>
        <w:numPr>
          <w:ilvl w:val="0"/>
          <w:numId w:val="12"/>
        </w:numPr>
        <w:spacing w:lineRule="auto" w:line="360" w:before="0" w:after="0"/>
        <w:ind w:left="2268" w:hanging="283"/>
        <w:contextualSpacing/>
        <w:jc w:val="both"/>
        <w:rPr>
          <w:rFonts w:cs="Calibri"/>
          <w:b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Empresas pagantes (reprogramado) = 14.978</w:t>
      </w:r>
    </w:p>
    <w:p>
      <w:pPr>
        <w:pStyle w:val="Normal"/>
        <w:spacing w:lineRule="auto" w:line="360" w:before="0" w:after="0"/>
        <w:ind w:left="1416" w:firstLine="708"/>
        <w:jc w:val="both"/>
        <w:rPr>
          <w:rFonts w:cs="Calibri"/>
          <w:i/>
          <w:i/>
          <w:iCs/>
          <w:sz w:val="24"/>
          <w:szCs w:val="24"/>
        </w:rPr>
      </w:pPr>
      <w:r>
        <w:rPr>
          <w:rFonts w:cs="Calibri"/>
          <w:b/>
          <w:bCs/>
          <w:i/>
          <w:iCs/>
          <w:sz w:val="24"/>
          <w:szCs w:val="24"/>
        </w:rPr>
        <w:t xml:space="preserve">Premissa utilizada = </w:t>
      </w:r>
      <w:r>
        <w:rPr>
          <w:rFonts w:cs="Calibri"/>
          <w:i/>
          <w:iCs/>
          <w:sz w:val="24"/>
          <w:szCs w:val="24"/>
        </w:rPr>
        <w:t>Quantidade de</w:t>
      </w:r>
      <w:r>
        <w:rPr>
          <w:rFonts w:cs="Calibri"/>
          <w:b/>
          <w:bCs/>
          <w:i/>
          <w:iCs/>
          <w:sz w:val="24"/>
          <w:szCs w:val="24"/>
        </w:rPr>
        <w:t xml:space="preserve"> </w:t>
      </w:r>
      <w:r>
        <w:rPr>
          <w:rFonts w:cs="Calibri"/>
          <w:i/>
          <w:iCs/>
          <w:sz w:val="24"/>
          <w:szCs w:val="24"/>
        </w:rPr>
        <w:t xml:space="preserve">Pagantes Executados até a data de </w:t>
      </w:r>
    </w:p>
    <w:p>
      <w:pPr>
        <w:pStyle w:val="Normal"/>
        <w:spacing w:lineRule="auto" w:line="360" w:before="0" w:after="0"/>
        <w:ind w:left="1416" w:firstLine="708"/>
        <w:jc w:val="both"/>
        <w:rPr>
          <w:rFonts w:cs="Calibri"/>
          <w:i/>
          <w:i/>
          <w:iCs/>
          <w:sz w:val="24"/>
          <w:szCs w:val="24"/>
        </w:rPr>
      </w:pPr>
      <w:r>
        <w:rPr>
          <w:rFonts w:cs="Calibri"/>
          <w:i/>
          <w:iCs/>
          <w:sz w:val="24"/>
          <w:szCs w:val="24"/>
        </w:rPr>
        <w:t xml:space="preserve">corte acrescida da Quantidade projetada de empresas considerando % </w:t>
      </w:r>
    </w:p>
    <w:p>
      <w:pPr>
        <w:pStyle w:val="Normal"/>
        <w:spacing w:lineRule="auto" w:line="360" w:before="0" w:after="0"/>
        <w:ind w:left="1416" w:firstLine="708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i/>
          <w:iCs/>
          <w:sz w:val="24"/>
          <w:szCs w:val="24"/>
        </w:rPr>
        <w:t>de recuperação da inadimplência</w:t>
      </w:r>
      <w:r>
        <w:rPr>
          <w:rFonts w:cs="Calibri"/>
          <w:color w:val="000000" w:themeColor="text1"/>
          <w:sz w:val="24"/>
          <w:szCs w:val="24"/>
        </w:rPr>
        <w:t xml:space="preserve"> com excessão do CAU/PE e CAU/SP </w:t>
      </w:r>
    </w:p>
    <w:p>
      <w:pPr>
        <w:pStyle w:val="Normal"/>
        <w:spacing w:lineRule="auto" w:line="360" w:before="0" w:after="0"/>
        <w:ind w:left="1416" w:firstLine="708"/>
        <w:jc w:val="both"/>
        <w:rPr>
          <w:rFonts w:cs="Calibri"/>
          <w:b/>
          <w:b/>
          <w:bCs/>
          <w:i/>
          <w:i/>
          <w:iCs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que solicitaram projeções próprias</w:t>
      </w:r>
    </w:p>
    <w:p>
      <w:pPr>
        <w:pStyle w:val="ListParagraph"/>
        <w:spacing w:lineRule="auto" w:line="360" w:before="0" w:after="0"/>
        <w:ind w:left="2127" w:hanging="0"/>
        <w:contextualSpacing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ListParagraph"/>
        <w:numPr>
          <w:ilvl w:val="0"/>
          <w:numId w:val="11"/>
        </w:numPr>
        <w:tabs>
          <w:tab w:val="clear" w:pos="708"/>
          <w:tab w:val="left" w:pos="1276" w:leader="none"/>
        </w:tabs>
        <w:spacing w:lineRule="auto" w:line="360" w:before="0" w:after="0"/>
        <w:contextualSpacing/>
        <w:jc w:val="both"/>
        <w:rPr>
          <w:rFonts w:cs="Calibri"/>
          <w:b/>
          <w:b/>
          <w:color w:val="008080"/>
          <w:sz w:val="24"/>
          <w:szCs w:val="24"/>
        </w:rPr>
      </w:pPr>
      <w:r>
        <w:rPr>
          <w:rFonts w:cs="Calibri"/>
          <w:b/>
          <w:color w:val="008080"/>
          <w:sz w:val="24"/>
          <w:szCs w:val="24"/>
        </w:rPr>
        <w:t>Projeção das receitas de RRT, considerando:</w:t>
      </w:r>
    </w:p>
    <w:p>
      <w:pPr>
        <w:pStyle w:val="ListParagraph"/>
        <w:numPr>
          <w:ilvl w:val="0"/>
          <w:numId w:val="12"/>
        </w:numPr>
        <w:spacing w:lineRule="auto" w:line="360" w:before="0" w:after="0"/>
        <w:ind w:left="2268" w:hanging="283"/>
        <w:contextualSpacing/>
        <w:jc w:val="both"/>
        <w:rPr>
          <w:rFonts w:cs="Calibri"/>
          <w:b/>
          <w:b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 xml:space="preserve">RRT (reprogramado) </w:t>
      </w:r>
      <w:r>
        <w:rPr>
          <w:rFonts w:cs="Calibri"/>
          <w:b/>
          <w:sz w:val="24"/>
          <w:szCs w:val="24"/>
        </w:rPr>
        <w:t>– 930.349</w:t>
      </w:r>
    </w:p>
    <w:p>
      <w:pPr>
        <w:pStyle w:val="ListParagraph"/>
        <w:spacing w:lineRule="auto" w:line="360" w:before="0" w:after="0"/>
        <w:ind w:left="2061" w:hanging="0"/>
        <w:contextualSpacing/>
        <w:jc w:val="both"/>
        <w:rPr>
          <w:rFonts w:cs="Calibri"/>
          <w:i/>
          <w:i/>
          <w:iCs/>
          <w:color w:val="000000" w:themeColor="text1"/>
          <w:sz w:val="24"/>
          <w:szCs w:val="24"/>
        </w:rPr>
      </w:pPr>
      <w:r>
        <w:rPr>
          <w:rFonts w:cs="Calibri"/>
          <w:b/>
          <w:bCs/>
          <w:i/>
          <w:iCs/>
          <w:sz w:val="24"/>
          <w:szCs w:val="24"/>
        </w:rPr>
        <w:t xml:space="preserve">Premissa utilizada </w:t>
      </w:r>
      <w:r>
        <w:rPr>
          <w:rFonts w:cs="Calibri"/>
          <w:i/>
          <w:iCs/>
          <w:sz w:val="24"/>
          <w:szCs w:val="24"/>
        </w:rPr>
        <w:t xml:space="preserve">= Quantidade de ativos reprogramado com redução de 50% de novos egressos reprogramados multiplicada pela média por PF revisada, </w:t>
      </w:r>
      <w:r>
        <w:rPr>
          <w:rFonts w:cs="Calibri"/>
          <w:color w:val="000000" w:themeColor="text1"/>
          <w:sz w:val="24"/>
          <w:szCs w:val="24"/>
        </w:rPr>
        <w:t>com excessão do CAU/PE, CAU/RN, CAU/GO, CAU/PR CAU/RJ e CAU/SP que solicitaram projeções próprias</w:t>
      </w:r>
    </w:p>
    <w:p>
      <w:pPr>
        <w:pStyle w:val="ListParagraph"/>
        <w:spacing w:lineRule="auto" w:line="360" w:before="0" w:after="0"/>
        <w:ind w:left="2127" w:hanging="0"/>
        <w:contextualSpacing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ListParagraph"/>
        <w:spacing w:lineRule="auto" w:line="360" w:before="0" w:after="0"/>
        <w:ind w:left="2127" w:hanging="0"/>
        <w:contextualSpacing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ListParagraph"/>
        <w:spacing w:lineRule="auto" w:line="360" w:before="0" w:after="0"/>
        <w:ind w:left="2127" w:hanging="0"/>
        <w:contextualSpacing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Normal"/>
        <w:numPr>
          <w:ilvl w:val="0"/>
          <w:numId w:val="11"/>
        </w:numPr>
        <w:tabs>
          <w:tab w:val="clear" w:pos="708"/>
          <w:tab w:val="left" w:pos="1276" w:leader="none"/>
        </w:tabs>
        <w:spacing w:lineRule="auto" w:line="360" w:before="0" w:after="0"/>
        <w:jc w:val="both"/>
        <w:rPr>
          <w:rFonts w:cs="Calibri"/>
          <w:b/>
          <w:b/>
          <w:color w:val="008080"/>
          <w:sz w:val="24"/>
          <w:szCs w:val="24"/>
        </w:rPr>
      </w:pPr>
      <w:r>
        <w:rPr>
          <w:rFonts w:cs="Calibri"/>
          <w:b/>
          <w:color w:val="008080"/>
          <w:sz w:val="24"/>
          <w:szCs w:val="24"/>
        </w:rPr>
        <w:t>Projeção das receitas de taxas e multas, considerando:</w:t>
      </w:r>
    </w:p>
    <w:p>
      <w:pPr>
        <w:pStyle w:val="Normal"/>
        <w:spacing w:lineRule="auto" w:line="360" w:before="0" w:after="0"/>
        <w:ind w:left="1996" w:hanging="0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Utilização da média das taxas dos últimos 3 anos (2018/2019/2020), comparativamente ao executado em 2021, com ajuste de curvas de acordo com a particularidade de cada CAU/UF, com excessão do CAU/PE, CAU/RN, CAU/GO e CAU/SP que solicitaram projeções próprias</w:t>
      </w:r>
    </w:p>
    <w:p>
      <w:pPr>
        <w:pStyle w:val="Normal"/>
        <w:spacing w:lineRule="auto" w:line="360" w:before="0" w:after="0"/>
        <w:ind w:left="1996" w:hanging="0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Normal"/>
        <w:spacing w:lineRule="auto" w:line="360" w:before="0" w:after="0"/>
        <w:ind w:left="1996" w:hanging="0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0" allowOverlap="1" relativeHeight="107" wp14:anchorId="6350C444">
                <wp:simplePos x="0" y="0"/>
                <wp:positionH relativeFrom="margin">
                  <wp:posOffset>66675</wp:posOffset>
                </wp:positionH>
                <wp:positionV relativeFrom="paragraph">
                  <wp:posOffset>14605</wp:posOffset>
                </wp:positionV>
                <wp:extent cx="5759450" cy="2353310"/>
                <wp:effectExtent l="0" t="0" r="0" b="9525"/>
                <wp:wrapNone/>
                <wp:docPr id="8" name="Caixa de Texto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920" cy="2352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hd w:val="clear" w:color="auto" w:fill="F4B083" w:themeFill="accent2" w:themeFillTint="99"/>
                              <w:spacing w:lineRule="auto" w:line="360" w:before="0" w:after="0"/>
                              <w:jc w:val="both"/>
                              <w:rPr>
                                <w:rFonts w:cs="Calibri"/>
                                <w:i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Nota 1: </w:t>
                            </w:r>
                            <w:r>
                              <w:rPr>
                                <w:rFonts w:cs="Calibri"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proposta de receitas de arrecadação contempla projeções para anuidades de exercícios anteriores (2012 a 2020) de acordo com a súmula nª 92/2020 (CPFI/CAU-BR) e considerando as informações disponíveis nos sistemas informatizados, utilizados pelo CAU, permitiram uma análise e projeções mais consistentes. Nesse contexto, as projeções para essa fonte de recursos ficam estabelecidas no </w:t>
                            </w:r>
                            <w:r>
                              <w:rPr>
                                <w:rFonts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mínimo em 10%</w:t>
                            </w:r>
                            <w:r>
                              <w:rPr>
                                <w:rFonts w:cs="Calibri"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a arrecadação de receitas das anuidades de exercícios anteriores, sendo previsto uma recuperação. em 2021, no patamar de R$ 13,96 milhões, distribuído em média de 12,3% (PF) e 5,1% (PJ), como forma recuperação dos valores de anuidades de exercícios anteriores</w:t>
                            </w:r>
                            <w:r>
                              <w:rPr>
                                <w:rFonts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>
                            <w:pPr>
                              <w:pStyle w:val="Contedodoquadro"/>
                              <w:shd w:val="clear" w:color="auto" w:fill="F4B083" w:themeFill="accent2" w:themeFillTint="99"/>
                              <w:spacing w:lineRule="auto" w:line="360" w:before="0" w:after="160"/>
                              <w:jc w:val="both"/>
                              <w:rPr>
                                <w:b/>
                                <w:b/>
                                <w:i/>
                                <w:i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33" path="m0,0l-2147483645,0l-2147483645,-2147483646l0,-2147483646xe" stroked="f" style="position:absolute;margin-left:5.25pt;margin-top:1.15pt;width:453.4pt;height:185.2pt;mso-wrap-style:square;v-text-anchor:top;mso-position-horizontal-relative:margin" wp14:anchorId="6350C444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hd w:val="clear" w:color="auto" w:fill="F4B083" w:themeFill="accent2" w:themeFillTint="99"/>
                        <w:spacing w:lineRule="auto" w:line="360" w:before="0" w:after="0"/>
                        <w:jc w:val="both"/>
                        <w:rPr>
                          <w:rFonts w:cs="Calibri"/>
                          <w:i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Nota 1: </w:t>
                      </w:r>
                      <w:r>
                        <w:rPr>
                          <w:rFonts w:cs="Calibri"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A proposta de receitas de arrecadação contempla projeções para anuidades de exercícios anteriores (2012 a 2020) de acordo com a súmula nª 92/2020 (CPFI/CAU-BR) e considerando as informações disponíveis nos sistemas informatizados, utilizados pelo CAU, permitiram uma análise e projeções mais consistentes. Nesse contexto, as projeções para essa fonte de recursos ficam estabelecidas no </w:t>
                      </w:r>
                      <w:r>
                        <w:rPr>
                          <w:rFonts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mínimo em 10%</w:t>
                      </w:r>
                      <w:r>
                        <w:rPr>
                          <w:rFonts w:cs="Calibri"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para a arrecadação de receitas das anuidades de exercícios anteriores, sendo previsto uma recuperação. em 2021, no patamar de R$ 13,96 milhões, distribuído em média de 12,3% (PF) e 5,1% (PJ), como forma recuperação dos valores de anuidades de exercícios anteriores</w:t>
                      </w:r>
                      <w:r>
                        <w:rPr>
                          <w:rFonts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</w:p>
                    <w:p>
                      <w:pPr>
                        <w:pStyle w:val="Contedodoquadro"/>
                        <w:shd w:val="clear" w:color="auto" w:fill="F4B083" w:themeFill="accent2" w:themeFillTint="99"/>
                        <w:spacing w:lineRule="auto" w:line="360" w:before="0" w:after="160"/>
                        <w:jc w:val="both"/>
                        <w:rPr>
                          <w:b/>
                          <w:b/>
                          <w:i/>
                          <w:i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360" w:before="0" w:after="0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cs="Calibri"/>
          <w:i/>
          <w:i/>
          <w:color w:val="000000" w:themeColor="text1"/>
          <w:sz w:val="24"/>
          <w:szCs w:val="24"/>
        </w:rPr>
      </w:pPr>
      <w:r>
        <w:rPr>
          <w:rFonts w:cs="Calibri"/>
          <w:i/>
          <w:color w:val="000000" w:themeColor="text1"/>
          <w:sz w:val="24"/>
          <w:szCs w:val="24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cs="Calibri"/>
          <w:i/>
          <w:i/>
          <w:color w:val="000000" w:themeColor="text1"/>
          <w:sz w:val="24"/>
          <w:szCs w:val="24"/>
        </w:rPr>
      </w:pPr>
      <w:r>
        <w:rPr>
          <w:rFonts w:cs="Calibri"/>
          <w:i/>
          <w:color w:val="000000" w:themeColor="text1"/>
          <w:sz w:val="24"/>
          <w:szCs w:val="24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cs="Calibri"/>
          <w:i/>
          <w:i/>
          <w:color w:val="000000" w:themeColor="text1"/>
          <w:sz w:val="24"/>
          <w:szCs w:val="24"/>
        </w:rPr>
      </w:pPr>
      <w:r>
        <w:rPr>
          <w:rFonts w:cs="Calibri"/>
          <w:i/>
          <w:color w:val="000000" w:themeColor="text1"/>
          <w:sz w:val="24"/>
          <w:szCs w:val="24"/>
        </w:rPr>
      </w:r>
    </w:p>
    <w:p>
      <w:pPr>
        <w:pStyle w:val="ListParagraph"/>
        <w:tabs>
          <w:tab w:val="clear" w:pos="708"/>
          <w:tab w:val="left" w:pos="1418" w:leader="none"/>
        </w:tabs>
        <w:spacing w:lineRule="auto" w:line="360"/>
        <w:ind w:left="0" w:firstLine="851"/>
        <w:jc w:val="both"/>
        <w:rPr>
          <w:rFonts w:cs="Calibri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Para a Reprogramação do Plano de Ação e Orçamento do CAU – exercício 2021, a </w:t>
      </w:r>
      <w:r>
        <w:rPr>
          <w:rFonts w:cs="Calibri"/>
          <w:b/>
          <w:color w:val="000000" w:themeColor="text1"/>
          <w:sz w:val="24"/>
          <w:szCs w:val="24"/>
        </w:rPr>
        <w:t>reestimativa das receitas de arrecadação</w:t>
      </w:r>
      <w:r>
        <w:rPr>
          <w:rFonts w:cs="Calibri"/>
          <w:color w:val="000000" w:themeColor="text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monta no total em </w:t>
      </w:r>
      <w:r>
        <w:rPr>
          <w:rFonts w:cs="Calibri"/>
          <w:b/>
          <w:sz w:val="24"/>
          <w:szCs w:val="24"/>
        </w:rPr>
        <w:t>R$ 177,71 milhões, sendo R$ 161,29 milhões do exercício e R$ 16,42 milhões de receitas de arrecadação de exercícios anteriores até dezembro 2021</w:t>
      </w:r>
      <w:r>
        <w:rPr>
          <w:rFonts w:cs="Calibri"/>
          <w:sz w:val="24"/>
          <w:szCs w:val="24"/>
        </w:rPr>
        <w:t xml:space="preserve">. </w:t>
      </w:r>
    </w:p>
    <w:p>
      <w:pPr>
        <w:pStyle w:val="ListParagraph"/>
        <w:tabs>
          <w:tab w:val="clear" w:pos="708"/>
          <w:tab w:val="left" w:pos="1418" w:leader="none"/>
        </w:tabs>
        <w:spacing w:lineRule="auto" w:line="360"/>
        <w:ind w:left="0" w:firstLine="85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Os valores reestimados decorrem de: </w:t>
      </w:r>
    </w:p>
    <w:p>
      <w:pPr>
        <w:pStyle w:val="ListParagraph"/>
        <w:numPr>
          <w:ilvl w:val="0"/>
          <w:numId w:val="33"/>
        </w:numPr>
        <w:tabs>
          <w:tab w:val="clear" w:pos="708"/>
          <w:tab w:val="left" w:pos="1418" w:leader="none"/>
        </w:tabs>
        <w:spacing w:lineRule="auto" w:line="360"/>
        <w:jc w:val="both"/>
        <w:rPr>
          <w:rFonts w:cs="Calibri"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>Anuidades PF</w:t>
      </w:r>
      <w:r>
        <w:rPr>
          <w:rFonts w:cs="Calibri"/>
          <w:color w:val="000000" w:themeColor="text1"/>
          <w:sz w:val="24"/>
          <w:szCs w:val="24"/>
        </w:rPr>
        <w:t xml:space="preserve"> - </w:t>
      </w:r>
      <w:r>
        <w:rPr>
          <w:rFonts w:cs="Calibri"/>
          <w:b/>
          <w:color w:val="000000" w:themeColor="text1"/>
          <w:sz w:val="24"/>
          <w:szCs w:val="24"/>
        </w:rPr>
        <w:t xml:space="preserve">R$ </w:t>
      </w:r>
      <w:r>
        <w:rPr>
          <w:rFonts w:cs="Calibri"/>
          <w:b/>
          <w:sz w:val="24"/>
          <w:szCs w:val="24"/>
        </w:rPr>
        <w:t>71,18 milhões</w:t>
      </w:r>
      <w:r>
        <w:rPr>
          <w:rFonts w:cs="Calibri"/>
          <w:sz w:val="24"/>
          <w:szCs w:val="24"/>
        </w:rPr>
        <w:t xml:space="preserve">, sendo que R$ 57,22 milhões para o </w:t>
      </w:r>
      <w:r>
        <w:rPr>
          <w:rFonts w:cs="Calibri"/>
          <w:b/>
          <w:bCs/>
          <w:sz w:val="24"/>
          <w:szCs w:val="24"/>
        </w:rPr>
        <w:t>exercício</w:t>
      </w:r>
      <w:r>
        <w:rPr>
          <w:rFonts w:cs="Calibri"/>
          <w:sz w:val="24"/>
          <w:szCs w:val="24"/>
        </w:rPr>
        <w:t xml:space="preserve">; e R$ 13,96 milhões para anuidades de </w:t>
      </w:r>
      <w:r>
        <w:rPr>
          <w:rFonts w:cs="Calibri"/>
          <w:b/>
          <w:bCs/>
          <w:sz w:val="24"/>
          <w:szCs w:val="24"/>
        </w:rPr>
        <w:t>exercícios anteriores</w:t>
      </w:r>
      <w:r>
        <w:rPr>
          <w:rFonts w:cs="Calibri"/>
          <w:sz w:val="24"/>
          <w:szCs w:val="24"/>
        </w:rPr>
        <w:t>, representando um incremento médio de</w:t>
      </w:r>
      <w:r>
        <w:rPr>
          <w:rFonts w:cs="Calibri"/>
          <w:b/>
          <w:bCs/>
          <w:sz w:val="24"/>
          <w:szCs w:val="24"/>
        </w:rPr>
        <w:t xml:space="preserve"> 3,5%</w:t>
      </w:r>
      <w:r>
        <w:rPr>
          <w:rFonts w:cs="Calibri"/>
          <w:sz w:val="24"/>
          <w:szCs w:val="24"/>
        </w:rPr>
        <w:t xml:space="preserve"> nas projeções para o exercício (valor da programação R$ 68,33 milhões), e um incremento médio de </w:t>
      </w:r>
      <w:r>
        <w:rPr>
          <w:rFonts w:cs="Calibri"/>
          <w:b/>
          <w:bCs/>
          <w:sz w:val="24"/>
          <w:szCs w:val="24"/>
        </w:rPr>
        <w:t>4,2 %</w:t>
      </w:r>
      <w:r>
        <w:rPr>
          <w:rFonts w:cs="Calibri"/>
          <w:sz w:val="24"/>
          <w:szCs w:val="24"/>
        </w:rPr>
        <w:t xml:space="preserve"> quando incorporado o valor arrecadado de exercícios anteriores; 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1418" w:leader="none"/>
        </w:tabs>
        <w:spacing w:lineRule="auto" w:line="360"/>
        <w:jc w:val="both"/>
        <w:rPr>
          <w:rFonts w:cs="Calibri"/>
          <w:b/>
          <w:b/>
          <w:bCs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Anuidades PJ </w:t>
      </w:r>
      <w:r>
        <w:rPr>
          <w:rFonts w:cs="Calibri"/>
          <w:sz w:val="24"/>
          <w:szCs w:val="24"/>
        </w:rPr>
        <w:t xml:space="preserve">- </w:t>
      </w:r>
      <w:r>
        <w:rPr>
          <w:rFonts w:cs="Calibri"/>
          <w:b/>
          <w:sz w:val="24"/>
          <w:szCs w:val="24"/>
        </w:rPr>
        <w:t>R$ 8,79 milhões</w:t>
      </w:r>
      <w:r>
        <w:rPr>
          <w:rFonts w:cs="Calibri"/>
          <w:sz w:val="24"/>
          <w:szCs w:val="24"/>
        </w:rPr>
        <w:t xml:space="preserve">, sendo que R$ 6,33 milhões para o </w:t>
      </w:r>
      <w:r>
        <w:rPr>
          <w:rFonts w:cs="Calibri"/>
          <w:b/>
          <w:bCs/>
          <w:sz w:val="24"/>
          <w:szCs w:val="24"/>
        </w:rPr>
        <w:t>exercício</w:t>
      </w:r>
      <w:r>
        <w:rPr>
          <w:rFonts w:cs="Calibri"/>
          <w:sz w:val="24"/>
          <w:szCs w:val="24"/>
        </w:rPr>
        <w:t xml:space="preserve">; e R$ 2,46 milhões decorrem de anuidades para </w:t>
      </w:r>
      <w:r>
        <w:rPr>
          <w:rFonts w:cs="Calibri"/>
          <w:b/>
          <w:bCs/>
          <w:sz w:val="24"/>
          <w:szCs w:val="24"/>
        </w:rPr>
        <w:t>exercícios anteriores</w:t>
      </w:r>
      <w:r>
        <w:rPr>
          <w:rFonts w:cs="Calibri"/>
          <w:sz w:val="24"/>
          <w:szCs w:val="24"/>
        </w:rPr>
        <w:t xml:space="preserve">, representando uma redução média de </w:t>
      </w:r>
      <w:r>
        <w:rPr>
          <w:rFonts w:cs="Calibri"/>
          <w:b/>
          <w:bCs/>
          <w:sz w:val="24"/>
          <w:szCs w:val="24"/>
        </w:rPr>
        <w:t>1,2%</w:t>
      </w:r>
      <w:r>
        <w:rPr>
          <w:rFonts w:cs="Calibri"/>
          <w:sz w:val="24"/>
          <w:szCs w:val="24"/>
        </w:rPr>
        <w:t xml:space="preserve"> nas projeções para o </w:t>
      </w:r>
      <w:r>
        <w:rPr>
          <w:rFonts w:cs="Calibri"/>
          <w:b/>
          <w:bCs/>
          <w:sz w:val="24"/>
          <w:szCs w:val="24"/>
        </w:rPr>
        <w:t>exercício</w:t>
      </w:r>
      <w:r>
        <w:rPr>
          <w:rFonts w:cs="Calibri"/>
          <w:sz w:val="24"/>
          <w:szCs w:val="24"/>
        </w:rPr>
        <w:t xml:space="preserve"> (valor da programação R$ 8,84 milhões), e um incremento médio de </w:t>
      </w:r>
      <w:r>
        <w:rPr>
          <w:rFonts w:cs="Calibri"/>
          <w:b/>
          <w:sz w:val="24"/>
          <w:szCs w:val="24"/>
        </w:rPr>
        <w:t>0,6%</w:t>
      </w:r>
      <w:r>
        <w:rPr>
          <w:rFonts w:cs="Calibri"/>
          <w:sz w:val="24"/>
          <w:szCs w:val="24"/>
        </w:rPr>
        <w:t xml:space="preserve"> quando incorporado o valor arrecadado de </w:t>
      </w:r>
      <w:r>
        <w:rPr>
          <w:rFonts w:cs="Calibri"/>
          <w:b/>
          <w:bCs/>
          <w:sz w:val="24"/>
          <w:szCs w:val="24"/>
        </w:rPr>
        <w:t>exercícios anteriores;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1418" w:leader="none"/>
        </w:tabs>
        <w:spacing w:lineRule="auto" w:line="360"/>
        <w:jc w:val="both"/>
        <w:rPr>
          <w:rFonts w:cs="Calibri"/>
          <w:sz w:val="24"/>
          <w:szCs w:val="24"/>
        </w:rPr>
      </w:pPr>
      <w:r>
        <w:rPr>
          <w:rFonts w:cs="Calibri"/>
          <w:b/>
          <w:sz w:val="24"/>
          <w:szCs w:val="24"/>
        </w:rPr>
        <w:t>RRT</w:t>
      </w:r>
      <w:r>
        <w:rPr>
          <w:rFonts w:cs="Calibri"/>
          <w:sz w:val="24"/>
          <w:szCs w:val="24"/>
        </w:rPr>
        <w:t xml:space="preserve"> – </w:t>
      </w:r>
      <w:r>
        <w:rPr>
          <w:rFonts w:cs="Calibri"/>
          <w:b/>
          <w:sz w:val="24"/>
          <w:szCs w:val="24"/>
        </w:rPr>
        <w:t>R$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b/>
          <w:sz w:val="24"/>
          <w:szCs w:val="24"/>
        </w:rPr>
        <w:t>91,13 milhões</w:t>
      </w:r>
      <w:r>
        <w:rPr>
          <w:rFonts w:cs="Calibri"/>
          <w:sz w:val="24"/>
          <w:szCs w:val="24"/>
        </w:rPr>
        <w:t xml:space="preserve">, representando um incremento médio de 2,3% frente à programação inicial (R$ 89,08 milhões); e 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1418" w:leader="none"/>
        </w:tabs>
        <w:spacing w:lineRule="auto" w:line="360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b/>
          <w:sz w:val="24"/>
          <w:szCs w:val="24"/>
        </w:rPr>
        <w:t>Taxas e Multas – R$ 6,62 milhões</w:t>
      </w:r>
      <w:r>
        <w:rPr>
          <w:rFonts w:cs="Calibri"/>
          <w:sz w:val="24"/>
          <w:szCs w:val="24"/>
        </w:rPr>
        <w:t>, refletindo um incremento médio de 2,1% frente às metas previstas (R$ 6,48 milhões), conforme demonstrado nos Quadros 2 e 3 a seguir</w:t>
      </w:r>
      <w:r>
        <w:rPr>
          <w:rFonts w:cs="Calibri"/>
          <w:color w:val="000000" w:themeColor="text1"/>
          <w:sz w:val="24"/>
          <w:szCs w:val="24"/>
        </w:rPr>
        <w:t>. O detalhamento, por estado, consta no Anexo III ; III.I e Anexo VIII.</w:t>
      </w:r>
    </w:p>
    <w:p>
      <w:pPr>
        <w:pStyle w:val="Normal"/>
        <w:tabs>
          <w:tab w:val="clear" w:pos="708"/>
          <w:tab w:val="left" w:pos="1418" w:leader="none"/>
        </w:tabs>
        <w:spacing w:lineRule="auto" w:line="360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ab/>
        <w:t>Cabe informar que as projeções do cenário de receitas de arrecadação foram, previamente, analisadas e validadas por todos, considerando os ajustes solicitados pelos CAU/DF, CAU/ES, CAU/GO, CAU/PB, CAU/PE, CAU/PR, CAU/RJ, CAU/RN e CAU/SP.</w:t>
      </w:r>
    </w:p>
    <w:p>
      <w:pPr>
        <w:pStyle w:val="Normal"/>
        <w:tabs>
          <w:tab w:val="clear" w:pos="708"/>
          <w:tab w:val="left" w:pos="1418" w:leader="none"/>
        </w:tabs>
        <w:spacing w:lineRule="auto" w:line="360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Quadros"/>
        <w:tabs>
          <w:tab w:val="clear" w:pos="708"/>
          <w:tab w:val="left" w:pos="1560" w:leader="none"/>
        </w:tabs>
        <w:jc w:val="center"/>
        <w:rPr>
          <w:b/>
          <w:b/>
        </w:rPr>
      </w:pPr>
      <w:bookmarkStart w:id="146" w:name="_Toc45579768"/>
      <w:bookmarkStart w:id="147" w:name="_Toc45533889"/>
      <w:r>
        <w:rPr>
          <w:b/>
        </w:rPr>
        <w:t xml:space="preserve">Quadro 2. Arquitetos e Urbanistas, Empresas e RRT - Programação X Reprogramação </w:t>
      </w:r>
      <w:bookmarkStart w:id="148" w:name="_Toc516740794"/>
      <w:r>
        <w:rPr>
          <w:b/>
        </w:rPr>
        <w:t>(Qtde)</w:t>
      </w:r>
      <w:bookmarkEnd w:id="146"/>
      <w:bookmarkEnd w:id="147"/>
      <w:bookmarkEnd w:id="148"/>
    </w:p>
    <w:p>
      <w:pPr>
        <w:pStyle w:val="Quadros"/>
        <w:jc w:val="center"/>
        <w:rPr>
          <w:b/>
          <w:b/>
        </w:rPr>
      </w:pPr>
      <w:r>
        <w:rPr/>
        <w:drawing>
          <wp:inline distT="0" distB="0" distL="0" distR="0">
            <wp:extent cx="4784725" cy="3134995"/>
            <wp:effectExtent l="0" t="0" r="0" b="0"/>
            <wp:docPr id="10" name="Imagem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3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center"/>
        <w:rPr>
          <w:color w:val="000000" w:themeColor="text1"/>
          <w:sz w:val="18"/>
          <w:szCs w:val="18"/>
        </w:rPr>
      </w:pPr>
      <w:r>
        <w:rPr>
          <w:bCs/>
          <w:color w:val="000000" w:themeColor="text1"/>
          <w:sz w:val="18"/>
          <w:szCs w:val="20"/>
        </w:rPr>
        <w:t xml:space="preserve">                                                                                                      </w:t>
      </w:r>
      <w:r>
        <w:rPr>
          <w:bCs/>
          <w:color w:val="000000" w:themeColor="text1"/>
          <w:sz w:val="18"/>
          <w:szCs w:val="20"/>
        </w:rPr>
        <w:t>Fonte da Execução:SICCAU/ IGEO</w:t>
      </w:r>
    </w:p>
    <w:p>
      <w:pPr>
        <w:pStyle w:val="NoSpacing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Quadros"/>
        <w:jc w:val="right"/>
        <w:rPr>
          <w:b/>
          <w:b/>
        </w:rPr>
      </w:pPr>
      <w:r>
        <w:rPr>
          <w:b/>
        </w:rPr>
      </w:r>
      <w:bookmarkStart w:id="149" w:name="_Toc45579769"/>
      <w:bookmarkStart w:id="150" w:name="_Toc45533890"/>
      <w:bookmarkStart w:id="151" w:name="_Toc45579769"/>
      <w:bookmarkStart w:id="152" w:name="_Toc45533890"/>
    </w:p>
    <w:p>
      <w:pPr>
        <w:pStyle w:val="Quadros"/>
        <w:jc w:val="right"/>
        <w:rPr>
          <w:b/>
          <w:b/>
        </w:rPr>
      </w:pPr>
      <w:r>
        <w:rPr>
          <w:b/>
        </w:rPr>
      </w:r>
    </w:p>
    <w:p>
      <w:pPr>
        <w:pStyle w:val="Quadros"/>
        <w:jc w:val="right"/>
        <w:rPr>
          <w:b/>
          <w:b/>
        </w:rPr>
      </w:pPr>
      <w:r>
        <w:rPr>
          <w:b/>
        </w:rPr>
      </w:r>
    </w:p>
    <w:p>
      <w:pPr>
        <w:pStyle w:val="Quadros"/>
        <w:jc w:val="right"/>
        <w:rPr>
          <w:b/>
          <w:b/>
        </w:rPr>
      </w:pPr>
      <w:r>
        <w:rPr>
          <w:b/>
        </w:rPr>
      </w:r>
    </w:p>
    <w:p>
      <w:pPr>
        <w:pStyle w:val="Quadros"/>
        <w:jc w:val="right"/>
        <w:rPr>
          <w:b/>
          <w:b/>
        </w:rPr>
      </w:pPr>
      <w:r>
        <w:rPr>
          <w:b/>
        </w:rPr>
      </w:r>
    </w:p>
    <w:p>
      <w:pPr>
        <w:pStyle w:val="Quadros"/>
        <w:jc w:val="right"/>
        <w:rPr>
          <w:b/>
          <w:b/>
        </w:rPr>
      </w:pPr>
      <w:r>
        <w:rPr>
          <w:b/>
        </w:rPr>
      </w:r>
    </w:p>
    <w:p>
      <w:pPr>
        <w:pStyle w:val="Quadros"/>
        <w:jc w:val="right"/>
        <w:rPr>
          <w:b/>
          <w:b/>
        </w:rPr>
      </w:pPr>
      <w:r>
        <w:rPr>
          <w:b/>
        </w:rPr>
      </w:r>
    </w:p>
    <w:p>
      <w:pPr>
        <w:pStyle w:val="Quadros"/>
        <w:jc w:val="right"/>
        <w:rPr>
          <w:b/>
          <w:b/>
        </w:rPr>
      </w:pPr>
      <w:r>
        <w:rPr>
          <w:b/>
        </w:rPr>
      </w:r>
    </w:p>
    <w:p>
      <w:pPr>
        <w:pStyle w:val="Quadros"/>
        <w:jc w:val="right"/>
        <w:rPr>
          <w:b/>
          <w:b/>
        </w:rPr>
      </w:pPr>
      <w:bookmarkStart w:id="153" w:name="_Toc45579769"/>
      <w:bookmarkStart w:id="154" w:name="_Toc45533890"/>
      <w:r>
        <w:rPr>
          <w:b/>
        </w:rPr>
        <w:t>Quadro 3. Reestimativa das Receitas do CAU –Programação X Reprogramação</w:t>
      </w:r>
      <w:bookmarkEnd w:id="153"/>
      <w:bookmarkEnd w:id="154"/>
    </w:p>
    <w:p>
      <w:pPr>
        <w:pStyle w:val="Quadros"/>
        <w:jc w:val="right"/>
        <w:rPr>
          <w:b/>
          <w:b/>
        </w:rPr>
      </w:pPr>
      <w:r>
        <w:rPr>
          <w:b/>
        </w:rPr>
        <w:t xml:space="preserve"> </w:t>
      </w:r>
      <w:bookmarkStart w:id="155" w:name="_Toc516740796"/>
      <w:r>
        <w:rPr>
          <w:b/>
        </w:rPr>
        <w:t>(Valores em R$ 1,00)</w:t>
      </w:r>
      <w:bookmarkEnd w:id="155"/>
    </w:p>
    <w:p>
      <w:pPr>
        <w:pStyle w:val="Normal"/>
        <w:jc w:val="center"/>
        <w:rPr>
          <w:lang w:eastAsia="pt-BR"/>
        </w:rPr>
      </w:pPr>
      <w:r>
        <w:rPr/>
        <w:drawing>
          <wp:inline distT="0" distB="0" distL="0" distR="0">
            <wp:extent cx="5759450" cy="3249295"/>
            <wp:effectExtent l="0" t="0" r="0" b="0"/>
            <wp:docPr id="11" name="Imagem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3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-284" w:leader="none"/>
        </w:tabs>
        <w:spacing w:lineRule="auto" w:line="360" w:before="0" w:after="0"/>
        <w:ind w:left="284" w:right="-2" w:hanging="0"/>
        <w:jc w:val="right"/>
        <w:rPr>
          <w:sz w:val="18"/>
          <w:szCs w:val="18"/>
        </w:rPr>
      </w:pPr>
      <w:r>
        <w:rPr>
          <w:bCs/>
          <w:color w:val="000000" w:themeColor="text1"/>
          <w:sz w:val="18"/>
          <w:szCs w:val="20"/>
        </w:rPr>
        <w:t xml:space="preserve">Fonte da Execução: SICCAU/IGEO. </w:t>
      </w:r>
    </w:p>
    <w:p>
      <w:pPr>
        <w:pStyle w:val="Normal"/>
        <w:tabs>
          <w:tab w:val="clear" w:pos="708"/>
          <w:tab w:val="left" w:pos="-284" w:leader="none"/>
        </w:tabs>
        <w:spacing w:lineRule="auto" w:line="360" w:before="0" w:after="0"/>
        <w:ind w:right="-2" w:hanging="0"/>
        <w:rPr>
          <w:b/>
          <w:b/>
          <w:bCs/>
          <w:color w:val="000000" w:themeColor="text1"/>
          <w:sz w:val="20"/>
          <w:szCs w:val="21"/>
        </w:rPr>
      </w:pPr>
      <w:r>
        <w:rPr>
          <w:b/>
          <w:bCs/>
          <w:color w:val="000000" w:themeColor="text1"/>
          <w:sz w:val="20"/>
          <w:szCs w:val="21"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360" w:before="0" w:after="0"/>
        <w:ind w:right="-2" w:firstLine="85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Os valores executados, até o dia 19/05/2021, referentes às receitas de anuidades de exercícios anteriores foram considerados nos cálculos das projeções revistas, conforme demonstrado no Quadro 3.</w:t>
      </w:r>
    </w:p>
    <w:p>
      <w:pPr>
        <w:pStyle w:val="Normal"/>
        <w:spacing w:lineRule="auto" w:line="360"/>
        <w:ind w:firstLine="85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 reestimativa das receitas de arrecadação </w:t>
      </w:r>
      <w:r>
        <w:rPr>
          <w:rFonts w:cs="Calibri"/>
          <w:b/>
          <w:bCs/>
          <w:sz w:val="24"/>
          <w:szCs w:val="24"/>
        </w:rPr>
        <w:t>do exercício</w:t>
      </w:r>
      <w:r>
        <w:rPr>
          <w:rFonts w:cs="Calibri"/>
          <w:sz w:val="24"/>
          <w:szCs w:val="24"/>
        </w:rPr>
        <w:t xml:space="preserve"> dos CAU/UF (80%), considerando o realizado no período janeiro a 19 de maio/2021 (R$ 64,90 milhões) e a projeção para o período 20 de maio a 31 de dezembro/20 (R$ 64,13 milhões), totaliza </w:t>
      </w:r>
      <w:r>
        <w:rPr>
          <w:rFonts w:cs="Calibri"/>
          <w:bCs/>
          <w:sz w:val="24"/>
          <w:szCs w:val="24"/>
        </w:rPr>
        <w:t>R$</w:t>
      </w:r>
      <w:r>
        <w:rPr>
          <w:rFonts w:cs="Calibri"/>
          <w:b/>
          <w:sz w:val="24"/>
          <w:szCs w:val="24"/>
        </w:rPr>
        <w:t xml:space="preserve"> 129,03 milhões</w:t>
      </w:r>
      <w:r>
        <w:rPr>
          <w:rFonts w:cs="Calibri"/>
          <w:sz w:val="24"/>
          <w:szCs w:val="24"/>
        </w:rPr>
        <w:t xml:space="preserve">, o que reflete uma redução de R$ 9,15 milhões ou uma variação negativa de  6,6% frente às estimativas iniciais de R$ </w:t>
      </w:r>
      <w:r>
        <w:rPr>
          <w:rFonts w:cs="Calibri"/>
          <w:b/>
          <w:bCs/>
          <w:sz w:val="24"/>
          <w:szCs w:val="24"/>
        </w:rPr>
        <w:t>138,18</w:t>
      </w:r>
      <w:r>
        <w:rPr>
          <w:rFonts w:cs="Calibri"/>
          <w:sz w:val="24"/>
          <w:szCs w:val="24"/>
        </w:rPr>
        <w:t xml:space="preserve"> milhões. As receitas de arrecadação total dos CAU/UF montam de R$ </w:t>
      </w:r>
      <w:r>
        <w:rPr>
          <w:rFonts w:cs="Calibri"/>
          <w:b/>
          <w:sz w:val="24"/>
          <w:szCs w:val="24"/>
        </w:rPr>
        <w:t>142,17</w:t>
      </w:r>
      <w:r>
        <w:rPr>
          <w:rFonts w:cs="Calibri"/>
          <w:sz w:val="24"/>
          <w:szCs w:val="24"/>
        </w:rPr>
        <w:t xml:space="preserve"> milhões, compreendendo R$ </w:t>
      </w:r>
      <w:r>
        <w:rPr>
          <w:rFonts w:cs="Calibri"/>
          <w:b/>
          <w:bCs/>
          <w:sz w:val="24"/>
          <w:szCs w:val="24"/>
        </w:rPr>
        <w:t>129,03</w:t>
      </w:r>
      <w:r>
        <w:rPr>
          <w:rFonts w:cs="Calibri"/>
          <w:sz w:val="24"/>
          <w:szCs w:val="24"/>
        </w:rPr>
        <w:t xml:space="preserve"> milhões do exercício e R$ </w:t>
      </w:r>
      <w:r>
        <w:rPr>
          <w:rFonts w:cs="Calibri"/>
          <w:b/>
          <w:bCs/>
          <w:sz w:val="24"/>
          <w:szCs w:val="24"/>
        </w:rPr>
        <w:t>13,13</w:t>
      </w:r>
      <w:r>
        <w:rPr>
          <w:rFonts w:cs="Calibri"/>
          <w:sz w:val="24"/>
          <w:szCs w:val="24"/>
        </w:rPr>
        <w:t xml:space="preserve"> milhões de anuidades de exercícios anteriores. </w:t>
      </w:r>
    </w:p>
    <w:p>
      <w:pPr>
        <w:pStyle w:val="Normal"/>
        <w:spacing w:lineRule="auto" w:line="360"/>
        <w:ind w:firstLine="85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Para o CAU/BR a reestimativa das receitas de arrecadação </w:t>
      </w:r>
      <w:r>
        <w:rPr>
          <w:rFonts w:cs="Calibri"/>
          <w:b/>
          <w:bCs/>
          <w:sz w:val="24"/>
          <w:szCs w:val="24"/>
        </w:rPr>
        <w:t>do exercício</w:t>
      </w:r>
      <w:r>
        <w:rPr>
          <w:rFonts w:cs="Calibri"/>
          <w:sz w:val="24"/>
          <w:szCs w:val="24"/>
        </w:rPr>
        <w:t xml:space="preserve"> (20%), considerando o realizado no período de janeiro a 19 de maio/2021 (R$ 16,23 milhões) e a projeção para o período de 20 de maio a 31 de dezembro/2021 (R$ 16,03 milhões), totaliza </w:t>
      </w:r>
      <w:r>
        <w:rPr>
          <w:rFonts w:cs="Calibri"/>
          <w:bCs/>
          <w:sz w:val="24"/>
          <w:szCs w:val="24"/>
        </w:rPr>
        <w:t>R$</w:t>
      </w:r>
      <w:r>
        <w:rPr>
          <w:rFonts w:cs="Calibri"/>
          <w:b/>
          <w:sz w:val="24"/>
          <w:szCs w:val="24"/>
        </w:rPr>
        <w:t xml:space="preserve"> 32,26 milhões</w:t>
      </w:r>
      <w:r>
        <w:rPr>
          <w:rFonts w:cs="Calibri"/>
          <w:sz w:val="24"/>
          <w:szCs w:val="24"/>
        </w:rPr>
        <w:t xml:space="preserve">, o que representa uma redução de R$ 2,28 milhões ou uma variação negativa de 6,7% frente às estimativas iniciais de R$ </w:t>
      </w:r>
      <w:r>
        <w:rPr>
          <w:rFonts w:cs="Calibri"/>
          <w:b/>
          <w:bCs/>
          <w:sz w:val="24"/>
          <w:szCs w:val="24"/>
        </w:rPr>
        <w:t>34,54</w:t>
      </w:r>
      <w:r>
        <w:rPr>
          <w:rFonts w:cs="Calibri"/>
          <w:sz w:val="24"/>
          <w:szCs w:val="24"/>
        </w:rPr>
        <w:t xml:space="preserve"> milhões. As receitas de arrecadação total do CAU/BR montam de R$ </w:t>
      </w:r>
      <w:r>
        <w:rPr>
          <w:rFonts w:cs="Calibri"/>
          <w:b/>
          <w:sz w:val="24"/>
          <w:szCs w:val="24"/>
        </w:rPr>
        <w:t>35,54</w:t>
      </w:r>
      <w:r>
        <w:rPr>
          <w:rFonts w:cs="Calibri"/>
          <w:sz w:val="24"/>
          <w:szCs w:val="24"/>
        </w:rPr>
        <w:t xml:space="preserve"> milhões, compreendendo R$ </w:t>
      </w:r>
      <w:r>
        <w:rPr>
          <w:rFonts w:cs="Calibri"/>
          <w:b/>
          <w:bCs/>
          <w:sz w:val="24"/>
          <w:szCs w:val="24"/>
        </w:rPr>
        <w:t>32,26</w:t>
      </w:r>
      <w:r>
        <w:rPr>
          <w:rFonts w:cs="Calibri"/>
          <w:sz w:val="24"/>
          <w:szCs w:val="24"/>
        </w:rPr>
        <w:t xml:space="preserve"> milhões do exercício e R$ </w:t>
      </w:r>
      <w:r>
        <w:rPr>
          <w:rFonts w:cs="Calibri"/>
          <w:b/>
          <w:bCs/>
          <w:sz w:val="24"/>
          <w:szCs w:val="24"/>
        </w:rPr>
        <w:t>3,29</w:t>
      </w:r>
      <w:r>
        <w:rPr>
          <w:rFonts w:cs="Calibri"/>
          <w:sz w:val="24"/>
          <w:szCs w:val="24"/>
        </w:rPr>
        <w:t xml:space="preserve"> milhões de anuidades de exercícios anteriores. </w:t>
      </w:r>
    </w:p>
    <w:p>
      <w:pPr>
        <w:pStyle w:val="Normal"/>
        <w:spacing w:lineRule="auto" w:line="360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sz w:val="24"/>
          <w:szCs w:val="24"/>
        </w:rPr>
        <w:t>Do valor destinado aos CAU/UF (80%), a posição por região apresenta-se na forma do Quadro 4 a seguir. O detalhamento por CAU/UF consta dos Anexos IX e IX</w:t>
      </w:r>
      <w:r>
        <w:rPr>
          <w:rFonts w:cs="Calibri"/>
          <w:color w:val="000000" w:themeColor="text1"/>
          <w:sz w:val="24"/>
          <w:szCs w:val="24"/>
        </w:rPr>
        <w:t>.I</w:t>
      </w:r>
    </w:p>
    <w:p>
      <w:pPr>
        <w:pStyle w:val="Quadros"/>
        <w:ind w:left="220" w:hanging="220"/>
        <w:jc w:val="right"/>
        <w:rPr>
          <w:b/>
          <w:b/>
        </w:rPr>
      </w:pPr>
      <w:bookmarkStart w:id="156" w:name="_Toc45579770"/>
      <w:bookmarkStart w:id="157" w:name="_Toc45533891"/>
      <w:r>
        <w:rPr>
          <w:b/>
        </w:rPr>
        <w:t>Quadro 4. Reestimativa das receitas dos CAU/UF – Reprogramação X Programação</w:t>
      </w:r>
      <w:bookmarkEnd w:id="156"/>
      <w:bookmarkEnd w:id="157"/>
    </w:p>
    <w:p>
      <w:pPr>
        <w:pStyle w:val="Normal"/>
        <w:ind w:firstLine="7088"/>
        <w:rPr>
          <w:b/>
          <w:b/>
        </w:rPr>
      </w:pPr>
      <w:bookmarkStart w:id="158" w:name="_Toc516740798"/>
      <w:bookmarkStart w:id="159" w:name="_Toc517110696"/>
      <w:r>
        <w:rPr>
          <w:b/>
        </w:rPr>
        <w:t>(Valores em R$ 1,00)</w:t>
      </w:r>
      <w:bookmarkEnd w:id="158"/>
      <w:bookmarkEnd w:id="159"/>
      <w:r>
        <w:rPr/>
        <w:t xml:space="preserve"> </w:t>
      </w:r>
      <w:r>
        <w:rPr/>
        <w:drawing>
          <wp:inline distT="0" distB="0" distL="0" distR="0">
            <wp:extent cx="5943600" cy="1758950"/>
            <wp:effectExtent l="0" t="0" r="0" b="0"/>
            <wp:docPr id="12" name="Imagem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3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-426" w:leader="none"/>
        </w:tabs>
        <w:spacing w:lineRule="auto" w:line="360" w:before="0" w:after="0"/>
        <w:ind w:left="-709" w:right="-426" w:firstLine="283"/>
        <w:jc w:val="center"/>
        <w:rPr>
          <w:rFonts w:cs="Calibri"/>
          <w:sz w:val="24"/>
          <w:szCs w:val="24"/>
        </w:rPr>
      </w:pPr>
      <w:r>
        <w:rPr>
          <w:bCs/>
          <w:color w:val="FF0000"/>
          <w:sz w:val="18"/>
          <w:szCs w:val="20"/>
        </w:rPr>
        <w:tab/>
        <w:tab/>
        <w:tab/>
        <w:tab/>
        <w:tab/>
        <w:tab/>
        <w:tab/>
        <w:tab/>
        <w:tab/>
        <w:tab/>
      </w:r>
      <w:r>
        <w:rPr>
          <w:bCs/>
          <w:sz w:val="18"/>
          <w:szCs w:val="20"/>
        </w:rPr>
        <w:t>Fonte da Execução: SICCAU/IGEO</w:t>
      </w:r>
    </w:p>
    <w:p>
      <w:pPr>
        <w:pStyle w:val="Normal"/>
        <w:shd w:val="clear" w:color="auto" w:fill="FFFFFF" w:themeFill="background1"/>
        <w:spacing w:lineRule="auto" w:line="360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Normal"/>
        <w:shd w:val="clear" w:color="auto" w:fill="FFFFFF" w:themeFill="background1"/>
        <w:spacing w:lineRule="auto" w:line="360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Os índices de variações demonstrados no quadro anterior apontam, primordialmente, o aumento nas projeções das receitas de arrecadação do CAU/BR e dos CAU/UF.</w:t>
      </w:r>
    </w:p>
    <w:p>
      <w:pPr>
        <w:pStyle w:val="Normal"/>
        <w:shd w:val="clear" w:color="auto" w:fill="FFFFFF" w:themeFill="background1"/>
        <w:spacing w:lineRule="auto" w:line="360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O detalhamento por CAU/UF das novas projeções das receitas totais de arrecadação, e por anuidade de pessoa física e pessoa jurídica, RRT, e taxas e multas, encontra-se no Anexo III.</w:t>
      </w:r>
    </w:p>
    <w:p>
      <w:pPr>
        <w:pStyle w:val="Normal"/>
        <w:shd w:val="clear" w:color="auto" w:fill="FFFFFF" w:themeFill="background1"/>
        <w:spacing w:lineRule="auto" w:line="360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Ttulo3"/>
        <w:numPr>
          <w:ilvl w:val="2"/>
          <w:numId w:val="9"/>
        </w:numPr>
        <w:ind w:left="495" w:right="253" w:hanging="495"/>
        <w:rPr/>
      </w:pPr>
      <w:bookmarkStart w:id="160" w:name="_Toc78546295"/>
      <w:bookmarkStart w:id="161" w:name="_Toc45579771"/>
      <w:bookmarkStart w:id="162" w:name="_Toc45579501"/>
      <w:bookmarkStart w:id="163" w:name="_Toc45573332"/>
      <w:bookmarkStart w:id="164" w:name="_Toc45572867"/>
      <w:bookmarkStart w:id="165" w:name="_Toc45571702"/>
      <w:bookmarkStart w:id="166" w:name="_Toc45563862"/>
      <w:bookmarkStart w:id="167" w:name="_Toc485391705"/>
      <w:bookmarkStart w:id="168" w:name="_Toc485394115"/>
      <w:bookmarkStart w:id="169" w:name="_Toc485395027"/>
      <w:bookmarkStart w:id="170" w:name="_Toc485637466"/>
      <w:bookmarkStart w:id="171" w:name="_Toc485638375"/>
      <w:bookmarkStart w:id="172" w:name="_Toc516740799"/>
      <w:bookmarkStart w:id="173" w:name="_Toc517110697"/>
      <w:bookmarkStart w:id="174" w:name="_Toc517111669"/>
      <w:bookmarkStart w:id="175" w:name="_Toc517111948"/>
      <w:bookmarkStart w:id="176" w:name="_Toc517188805"/>
      <w:bookmarkStart w:id="177" w:name="_Toc517194139"/>
      <w:bookmarkStart w:id="178" w:name="_Toc518381390"/>
      <w:bookmarkStart w:id="179" w:name="_Toc12119515"/>
      <w:bookmarkStart w:id="180" w:name="_Toc12120530"/>
      <w:bookmarkStart w:id="181" w:name="_Toc12185174"/>
      <w:bookmarkStart w:id="182" w:name="_Toc12204960"/>
      <w:bookmarkStart w:id="183" w:name="_Toc12224848"/>
      <w:bookmarkStart w:id="184" w:name="_Toc12224990"/>
      <w:bookmarkStart w:id="185" w:name="_Toc12225195"/>
      <w:bookmarkStart w:id="186" w:name="_Toc45533892"/>
      <w:r>
        <w:rPr/>
        <w:t>Receita de Exercícios Anteriores (Superávit Financeiro)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</w:p>
    <w:p>
      <w:pPr>
        <w:pStyle w:val="NoSpacing"/>
        <w:spacing w:lineRule="auto" w:line="360" w:before="0" w:after="240"/>
        <w:ind w:firstLine="708"/>
        <w:jc w:val="both"/>
        <w:rPr/>
      </w:pPr>
      <w:r>
        <w:rPr/>
        <w:t xml:space="preserve">Com o encerramento do balanço do exercício de 2020, o CAU/BR e os CAU/UF poderão incorporar, na composição de suas receitas para o exercício de 2021, as decorrentes dos saldos de exercícios anteriores (superávit financeiro). </w:t>
      </w:r>
    </w:p>
    <w:p>
      <w:pPr>
        <w:pStyle w:val="NoSpacing"/>
        <w:spacing w:lineRule="auto" w:line="360" w:before="0" w:after="240"/>
        <w:ind w:firstLine="708"/>
        <w:jc w:val="both"/>
        <w:rPr/>
      </w:pPr>
      <w:r>
        <w:rPr/>
        <w:t xml:space="preserve">Esse recurso, de acordo com a Resolução nº 200, art. 9º </w:t>
      </w:r>
      <w:bookmarkStart w:id="187" w:name="_Toc485391706"/>
      <w:bookmarkStart w:id="188" w:name="_Toc485394116"/>
      <w:bookmarkStart w:id="189" w:name="_Toc485395028"/>
      <w:r>
        <w:rPr/>
        <w:t xml:space="preserve"> “poderá ser utilizado em despesas de capital e em projetos específicos com seus respectivos Planos de Trabalho e com duração não superior a um exercício, de caráter não continuado, não configurado como atividade, em ações cuja realização seja suportada por despesas de natureza corrente”. </w:t>
      </w:r>
    </w:p>
    <w:p>
      <w:pPr>
        <w:pStyle w:val="Default"/>
        <w:spacing w:lineRule="auto" w:line="360" w:before="0" w:after="240"/>
        <w:ind w:firstLine="708"/>
        <w:jc w:val="both"/>
        <w:rPr>
          <w:color w:val="auto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05" wp14:anchorId="16E3A69B">
                <wp:simplePos x="0" y="0"/>
                <wp:positionH relativeFrom="margin">
                  <wp:align>right</wp:align>
                </wp:positionH>
                <wp:positionV relativeFrom="paragraph">
                  <wp:posOffset>2357120</wp:posOffset>
                </wp:positionV>
                <wp:extent cx="5759450" cy="1448435"/>
                <wp:effectExtent l="0" t="0" r="0" b="0"/>
                <wp:wrapNone/>
                <wp:docPr id="13" name="Caixa de Texto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920" cy="1447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hd w:val="clear" w:color="auto" w:fill="F4B083" w:themeFill="accent2" w:themeFillTint="99"/>
                              <w:spacing w:lineRule="auto" w:line="360" w:before="0" w:after="160"/>
                              <w:jc w:val="both"/>
                              <w:rPr>
                                <w:b/>
                                <w:b/>
                                <w:i/>
                                <w:i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Nota 2: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Conforme Resolução nº 200/2020, fica autorizada a utilização de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u w:val="single"/>
                              </w:rPr>
                              <w:t xml:space="preserve">superávit financeiro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u w:val="single"/>
                              </w:rPr>
                              <w:t>acumulado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u w:val="single"/>
                              </w:rPr>
                              <w:t xml:space="preserve"> até o exercício imediatamente anterior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, apurado no balanço patrimonial, em despesas de capital e em projetos específicos, com seus respectivos planos de trabalho, de caráter não continuado, não configurado como atividade, em ações cuja realização seja suportada por despesas de natureza corrente.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7" path="m0,0l-2147483645,0l-2147483645,-2147483646l0,-2147483646xe" stroked="f" style="position:absolute;margin-left:0pt;margin-top:185.6pt;width:453.4pt;height:113.95pt;mso-wrap-style:square;v-text-anchor:top;mso-position-horizontal:right;mso-position-horizontal-relative:margin" wp14:anchorId="16E3A69B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hd w:val="clear" w:color="auto" w:fill="F4B083" w:themeFill="accent2" w:themeFillTint="99"/>
                        <w:spacing w:lineRule="auto" w:line="360" w:before="0" w:after="160"/>
                        <w:jc w:val="both"/>
                        <w:rPr>
                          <w:b/>
                          <w:b/>
                          <w:i/>
                          <w:i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Nota 2: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 xml:space="preserve"> Conforme Resolução nº 200/2020, fica autorizada a utilização de </w:t>
                      </w:r>
                      <w:r>
                        <w:rPr>
                          <w:i/>
                          <w:iCs/>
                          <w:color w:val="000000" w:themeColor="text1"/>
                          <w:u w:val="single"/>
                        </w:rPr>
                        <w:t xml:space="preserve">superávit financeiro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u w:val="single"/>
                        </w:rPr>
                        <w:t>acumulado</w:t>
                      </w:r>
                      <w:r>
                        <w:rPr>
                          <w:i/>
                          <w:iCs/>
                          <w:color w:val="000000" w:themeColor="text1"/>
                          <w:u w:val="single"/>
                        </w:rPr>
                        <w:t xml:space="preserve"> até o exercício imediatamente anterior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>, apurado no balanço patrimonial, em despesas de capital e em projetos específicos, com seus respectivos planos de trabalho, de caráter não continuado, não configurado como atividade, em ações cuja realização seja suportada por despesas de natureza corrente.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color w:val="auto"/>
        </w:rPr>
        <w:t>A utilização do superávit financeiro em Projetos Específicos está sujeita à prévia autorização dos Plenários, que deverão estabelecer critérios e percentuais de uso dos recursos, pois cada CAU é responsável pelo uso do referido superávit. Para fins de apuração do referido superávit financeiro, aplica-se o “§ 2º do art. 43 da Lei nº 4.320, de 17 de março de 1964, como a diferença positiva entre o ativo financeiro e o passivo financeiro. Por tratamento contábel ou conservador, o CAU considera apenas a parte do ativo financeiro relativa à disponibilidade financeira (liquidez imediata) para fins de cálculo daquele superávit.”</w:t>
      </w:r>
    </w:p>
    <w:p>
      <w:pPr>
        <w:pStyle w:val="Ttulo3"/>
        <w:ind w:left="0" w:right="253" w:hanging="0"/>
        <w:rPr/>
      </w:pPr>
      <w:r>
        <w:rPr/>
      </w:r>
      <w:bookmarkStart w:id="190" w:name="_Toc45579772"/>
      <w:bookmarkStart w:id="191" w:name="_Toc45579502"/>
      <w:bookmarkStart w:id="192" w:name="_Toc45573333"/>
      <w:bookmarkStart w:id="193" w:name="_Toc45572868"/>
      <w:bookmarkStart w:id="194" w:name="_Toc45571703"/>
      <w:bookmarkStart w:id="195" w:name="_Toc45563863"/>
      <w:bookmarkStart w:id="196" w:name="_Toc485637467"/>
      <w:bookmarkStart w:id="197" w:name="_Toc485638376"/>
      <w:bookmarkStart w:id="198" w:name="_Toc516740800"/>
      <w:bookmarkStart w:id="199" w:name="_Toc517110698"/>
      <w:bookmarkStart w:id="200" w:name="_Toc517111670"/>
      <w:bookmarkStart w:id="201" w:name="_Toc517111949"/>
      <w:bookmarkStart w:id="202" w:name="_Toc517188806"/>
      <w:bookmarkStart w:id="203" w:name="_Toc517194140"/>
      <w:bookmarkStart w:id="204" w:name="_Toc518381391"/>
      <w:bookmarkStart w:id="205" w:name="_Toc12119516"/>
      <w:bookmarkStart w:id="206" w:name="_Toc12120531"/>
      <w:bookmarkStart w:id="207" w:name="_Toc12185175"/>
      <w:bookmarkStart w:id="208" w:name="_Toc12204961"/>
      <w:bookmarkStart w:id="209" w:name="_Toc12224849"/>
      <w:bookmarkStart w:id="210" w:name="_Toc12224991"/>
      <w:bookmarkStart w:id="211" w:name="_Toc12225196"/>
      <w:bookmarkStart w:id="212" w:name="_Toc45533893"/>
      <w:bookmarkStart w:id="213" w:name="_Toc45579772"/>
      <w:bookmarkStart w:id="214" w:name="_Toc45579502"/>
      <w:bookmarkStart w:id="215" w:name="_Toc45573333"/>
      <w:bookmarkStart w:id="216" w:name="_Toc45572868"/>
      <w:bookmarkStart w:id="217" w:name="_Toc45571703"/>
      <w:bookmarkStart w:id="218" w:name="_Toc45563863"/>
      <w:bookmarkStart w:id="219" w:name="_Toc485637467"/>
      <w:bookmarkStart w:id="220" w:name="_Toc485638376"/>
      <w:bookmarkStart w:id="221" w:name="_Toc516740800"/>
      <w:bookmarkStart w:id="222" w:name="_Toc517110698"/>
      <w:bookmarkStart w:id="223" w:name="_Toc517111670"/>
      <w:bookmarkStart w:id="224" w:name="_Toc517111949"/>
      <w:bookmarkStart w:id="225" w:name="_Toc517188806"/>
      <w:bookmarkStart w:id="226" w:name="_Toc517194140"/>
      <w:bookmarkStart w:id="227" w:name="_Toc518381391"/>
      <w:bookmarkStart w:id="228" w:name="_Toc12119516"/>
      <w:bookmarkStart w:id="229" w:name="_Toc12120531"/>
      <w:bookmarkStart w:id="230" w:name="_Toc12185175"/>
      <w:bookmarkStart w:id="231" w:name="_Toc12204961"/>
      <w:bookmarkStart w:id="232" w:name="_Toc12224849"/>
      <w:bookmarkStart w:id="233" w:name="_Toc12224991"/>
      <w:bookmarkStart w:id="234" w:name="_Toc12225196"/>
      <w:bookmarkStart w:id="235" w:name="_Toc45533893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06" wp14:anchorId="535AE3A3">
                <wp:simplePos x="0" y="0"/>
                <wp:positionH relativeFrom="margin">
                  <wp:align>right</wp:align>
                </wp:positionH>
                <wp:positionV relativeFrom="paragraph">
                  <wp:posOffset>189865</wp:posOffset>
                </wp:positionV>
                <wp:extent cx="5759450" cy="1448435"/>
                <wp:effectExtent l="0" t="0" r="0" b="0"/>
                <wp:wrapNone/>
                <wp:docPr id="15" name="Caixa de Texto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920" cy="1447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Default"/>
                              <w:shd w:val="clear" w:color="auto" w:fill="F4B083" w:themeFill="accent2" w:themeFillTint="99"/>
                              <w:spacing w:lineRule="auto" w:line="360" w:before="0" w:after="240"/>
                              <w:jc w:val="both"/>
                              <w:rPr>
                                <w:rFonts w:ascii="Calibri" w:hAnsi="Calibri" w:asciiTheme="minorHAnsi" w:hAnsiTheme="minorHAnsi"/>
                                <w:i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Nota 3: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A utilização de recursos do superávit financeiro deverá ser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previamente aprovada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pelas comissões de planejamento e finanças ou equivalentes e pelos plenários dos respectivos CAU/UF, sendo que na utilização em projetos específicos deverão ser observados critérios e percentuais de uso destes recursos, de responsabilidade de cada CAU/UF e CAU/BR.</w:t>
                            </w:r>
                          </w:p>
                          <w:p>
                            <w:pPr>
                              <w:pStyle w:val="Contedodoquadro"/>
                              <w:shd w:val="clear" w:color="auto" w:fill="F4B083" w:themeFill="accent2" w:themeFillTint="99"/>
                              <w:spacing w:lineRule="auto" w:line="360" w:before="0" w:after="160"/>
                              <w:jc w:val="both"/>
                              <w:rPr>
                                <w:b/>
                                <w:b/>
                                <w:i/>
                                <w:i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31" path="m0,0l-2147483645,0l-2147483645,-2147483646l0,-2147483646xe" stroked="f" style="position:absolute;margin-left:0pt;margin-top:14.95pt;width:453.4pt;height:113.95pt;mso-wrap-style:square;v-text-anchor:top;mso-position-horizontal:right;mso-position-horizontal-relative:margin" wp14:anchorId="535AE3A3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Default"/>
                        <w:shd w:val="clear" w:color="auto" w:fill="F4B083" w:themeFill="accent2" w:themeFillTint="99"/>
                        <w:spacing w:lineRule="auto" w:line="360" w:before="0" w:after="240"/>
                        <w:jc w:val="both"/>
                        <w:rPr>
                          <w:rFonts w:ascii="Calibri" w:hAnsi="Calibri" w:asciiTheme="minorHAnsi" w:hAnsiTheme="minorHAnsi"/>
                          <w:i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Nota 3: 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 xml:space="preserve">A utilização de recursos do superávit financeiro deverá ser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previamente aprovada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 xml:space="preserve"> pelas comissões de planejamento e finanças ou equivalentes e pelos plenários dos respectivos CAU/UF, sendo que na utilização em projetos específicos deverão ser observados critérios e percentuais de uso destes recursos, de responsabilidade de cada CAU/UF e CAU/BR.</w:t>
                      </w:r>
                    </w:p>
                    <w:p>
                      <w:pPr>
                        <w:pStyle w:val="Contedodoquadro"/>
                        <w:shd w:val="clear" w:color="auto" w:fill="F4B083" w:themeFill="accent2" w:themeFillTint="99"/>
                        <w:spacing w:lineRule="auto" w:line="360" w:before="0" w:after="160"/>
                        <w:jc w:val="both"/>
                        <w:rPr>
                          <w:b/>
                          <w:b/>
                          <w:i/>
                          <w:i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3"/>
        <w:ind w:left="0" w:right="253" w:hanging="0"/>
        <w:rPr/>
      </w:pPr>
      <w:r>
        <w:rPr/>
      </w:r>
    </w:p>
    <w:p>
      <w:pPr>
        <w:pStyle w:val="Ttulo3"/>
        <w:ind w:left="0" w:right="253" w:hanging="0"/>
        <w:rPr/>
      </w:pPr>
      <w:bookmarkStart w:id="236" w:name="_Toc45579772"/>
      <w:bookmarkStart w:id="237" w:name="_Toc45579502"/>
      <w:bookmarkStart w:id="238" w:name="_Toc45573333"/>
      <w:bookmarkStart w:id="239" w:name="_Toc45572868"/>
      <w:bookmarkStart w:id="240" w:name="_Toc45571703"/>
      <w:bookmarkStart w:id="241" w:name="_Toc45563863"/>
      <w:bookmarkStart w:id="242" w:name="_Toc485637467"/>
      <w:bookmarkStart w:id="243" w:name="_Toc485638376"/>
      <w:bookmarkStart w:id="244" w:name="_Toc516740800"/>
      <w:bookmarkStart w:id="245" w:name="_Toc517110698"/>
      <w:bookmarkStart w:id="246" w:name="_Toc517111670"/>
      <w:bookmarkStart w:id="247" w:name="_Toc517111949"/>
      <w:bookmarkStart w:id="248" w:name="_Toc517188806"/>
      <w:bookmarkStart w:id="249" w:name="_Toc517194140"/>
      <w:bookmarkStart w:id="250" w:name="_Toc518381391"/>
      <w:bookmarkStart w:id="251" w:name="_Toc12119516"/>
      <w:bookmarkStart w:id="252" w:name="_Toc12120531"/>
      <w:bookmarkStart w:id="253" w:name="_Toc12185175"/>
      <w:bookmarkStart w:id="254" w:name="_Toc12204961"/>
      <w:bookmarkStart w:id="255" w:name="_Toc12224849"/>
      <w:bookmarkStart w:id="256" w:name="_Toc12224991"/>
      <w:bookmarkStart w:id="257" w:name="_Toc12225196"/>
      <w:bookmarkStart w:id="258" w:name="_Toc45533893"/>
      <w:bookmarkStart w:id="259" w:name="_Toc78546296"/>
      <w:r>
        <w:rPr/>
        <w:t>Destinação de Fundo de Apoio Financeiro aos CAU/UF</w:t>
      </w:r>
      <w:bookmarkEnd w:id="187"/>
      <w:bookmarkEnd w:id="188"/>
      <w:bookmarkEnd w:id="189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</w:p>
    <w:p>
      <w:pPr>
        <w:pStyle w:val="ListParagraph"/>
        <w:tabs>
          <w:tab w:val="clear" w:pos="708"/>
          <w:tab w:val="left" w:pos="0" w:leader="none"/>
        </w:tabs>
        <w:spacing w:lineRule="auto" w:line="360" w:before="240" w:after="200"/>
        <w:ind w:left="0" w:firstLine="851"/>
        <w:contextualSpacing/>
        <w:jc w:val="both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Os CAU/UF contemplados com Fundo de Apoio Financeiro, enquadrados como CAU Básico (Anexos X e X.I), deverão incorporar esses recursos na composição de suas receitas, demonstrando nos projetos e atividades sua destinação, na forma aprovada pelas Resoluções nº 119 e a proposta CGFA nº 08/2019, os recursos decorrentes do Fundo de Apoio Financeiro aos CAU/UF, somente poderão ser utilizados, pelos CAU Básico, em</w:t>
      </w:r>
      <w:r>
        <w:rPr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despesas correntes</w:t>
      </w:r>
      <w:r>
        <w:rPr>
          <w:color w:val="000000" w:themeColor="text1"/>
          <w:sz w:val="24"/>
          <w:szCs w:val="24"/>
        </w:rPr>
        <w:t xml:space="preserve"> (custeio). 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360" w:before="240" w:after="200"/>
        <w:ind w:left="0" w:firstLine="851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Cabe salientar que os CAU Básico, na elaboração de sua reprogramação para </w:t>
      </w:r>
      <w:r>
        <w:rPr>
          <w:sz w:val="24"/>
          <w:szCs w:val="24"/>
        </w:rPr>
        <w:t xml:space="preserve">2021, </w:t>
      </w:r>
      <w:r>
        <w:rPr>
          <w:color w:val="000000" w:themeColor="text1"/>
          <w:sz w:val="24"/>
          <w:szCs w:val="24"/>
        </w:rPr>
        <w:t>deverão observar com maior rigor todos os procedimentos e estratégias estabelecidas nas presentes Diretrizes.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360" w:before="240" w:after="200"/>
        <w:ind w:left="0" w:firstLine="851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No tocante aos recursos contemplados para os CAU/Básico, para </w:t>
      </w:r>
      <w:r>
        <w:rPr>
          <w:b/>
          <w:color w:val="000000" w:themeColor="text1"/>
          <w:sz w:val="24"/>
          <w:szCs w:val="24"/>
        </w:rPr>
        <w:t>custeio dos Serviços Compartilhados - CSC</w:t>
      </w:r>
      <w:r>
        <w:rPr>
          <w:color w:val="000000" w:themeColor="text1"/>
          <w:sz w:val="24"/>
          <w:szCs w:val="24"/>
        </w:rPr>
        <w:t xml:space="preserve">, os recursos somente poderão ser utilizados para </w:t>
      </w:r>
      <w:r>
        <w:rPr>
          <w:b/>
          <w:color w:val="000000" w:themeColor="text1"/>
          <w:sz w:val="24"/>
          <w:szCs w:val="24"/>
        </w:rPr>
        <w:t>as atividades específicas</w:t>
      </w:r>
      <w:r>
        <w:rPr>
          <w:color w:val="000000" w:themeColor="text1"/>
          <w:sz w:val="24"/>
          <w:szCs w:val="24"/>
        </w:rPr>
        <w:t xml:space="preserve">. No Anexo XI estão demonstrados os CAU/UF contemplados nesse enquadramento e os respectivos valores. 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360" w:before="240" w:after="200"/>
        <w:ind w:left="0" w:firstLine="851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0" allowOverlap="1" relativeHeight="104" wp14:anchorId="793C50EA">
                <wp:simplePos x="0" y="0"/>
                <wp:positionH relativeFrom="margin">
                  <wp:align>left</wp:align>
                </wp:positionH>
                <wp:positionV relativeFrom="paragraph">
                  <wp:posOffset>135255</wp:posOffset>
                </wp:positionV>
                <wp:extent cx="5759450" cy="2667635"/>
                <wp:effectExtent l="0" t="0" r="0" b="0"/>
                <wp:wrapNone/>
                <wp:docPr id="17" name="Caixa de Texto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920" cy="2666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Default"/>
                              <w:shd w:val="clear" w:color="auto" w:fill="F4B083" w:themeFill="accent2" w:themeFillTint="99"/>
                              <w:spacing w:lineRule="auto" w:line="360" w:before="0" w:after="240"/>
                              <w:jc w:val="both"/>
                              <w:rPr>
                                <w:rFonts w:ascii="Calibri" w:hAnsi="Calibri" w:asciiTheme="minorHAnsi" w:hAnsiTheme="minorHAnsi"/>
                                <w:i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Nota 4: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 Cabe salientar que valor da arrecadação considerado para os aportes ao Fundo de Apoio e CSC, de acordo com definições da CPFI em reunião realizada no dia 14/06, foi:            </w:t>
                            </w:r>
                          </w:p>
                          <w:p>
                            <w:pPr>
                              <w:pStyle w:val="Default"/>
                              <w:shd w:val="clear" w:color="auto" w:fill="F4B083" w:themeFill="accent2" w:themeFillTint="99"/>
                              <w:spacing w:lineRule="auto" w:line="360" w:before="0" w:after="240"/>
                              <w:jc w:val="both"/>
                              <w:rPr>
                                <w:rFonts w:ascii="Calibri" w:hAnsi="Calibri" w:asciiTheme="minorHAnsi" w:hAnsiTheme="minorHAnsi"/>
                                <w:i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1-Para os CAU/UF que arrecadaram até a data de corte (19/05)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acima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de 10 % da receita de arrecadação de exercícios anteriores (previsto na Súmula 92/2020-CPFI) foi  considerado o valor arrecadado dos 10 % acrescido ao valor da arrecadação do exercício; </w:t>
                            </w:r>
                          </w:p>
                          <w:p>
                            <w:pPr>
                              <w:pStyle w:val="Default"/>
                              <w:shd w:val="clear" w:color="auto" w:fill="F4B083" w:themeFill="accent2" w:themeFillTint="99"/>
                              <w:spacing w:lineRule="auto" w:line="360" w:before="0" w:after="240"/>
                              <w:jc w:val="both"/>
                              <w:rPr>
                                <w:rFonts w:ascii="Calibri" w:hAnsi="Calibri" w:asciiTheme="minorHAnsi" w:hAnsiTheme="minorHAnsi"/>
                                <w:i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2- Para os CAU/UF que a arrecadaram até a data de corte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abaixo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 dos 10%, da receita de arrecadação do exercícios anteriores, foi considerado o valor arrecadado de exercícios anteriores acrescido ao valor da arrecadação do exercício.</w:t>
                            </w:r>
                          </w:p>
                          <w:p>
                            <w:pPr>
                              <w:pStyle w:val="Contedodoquadro"/>
                              <w:shd w:val="clear" w:color="auto" w:fill="F4B083" w:themeFill="accent2" w:themeFillTint="99"/>
                              <w:spacing w:lineRule="auto" w:line="360" w:before="0" w:after="160"/>
                              <w:jc w:val="both"/>
                              <w:rPr>
                                <w:b/>
                                <w:b/>
                                <w:i/>
                                <w:i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4" path="m0,0l-2147483645,0l-2147483645,-2147483646l0,-2147483646xe" stroked="f" style="position:absolute;margin-left:0pt;margin-top:10.65pt;width:453.4pt;height:209.95pt;mso-wrap-style:square;v-text-anchor:top;mso-position-horizontal:left;mso-position-horizontal-relative:margin" wp14:anchorId="793C50EA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Default"/>
                        <w:shd w:val="clear" w:color="auto" w:fill="F4B083" w:themeFill="accent2" w:themeFillTint="99"/>
                        <w:spacing w:lineRule="auto" w:line="360" w:before="0" w:after="240"/>
                        <w:jc w:val="both"/>
                        <w:rPr>
                          <w:rFonts w:ascii="Calibri" w:hAnsi="Calibri" w:asciiTheme="minorHAnsi" w:hAnsiTheme="minorHAnsi"/>
                          <w:i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>Nota 4: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 Cabe salientar que valor da arrecadação considerado para os aportes ao Fundo de Apoio e CSC, de acordo com definições da CPFI em reunião realizada no dia 14/06, foi:            </w:t>
                      </w:r>
                    </w:p>
                    <w:p>
                      <w:pPr>
                        <w:pStyle w:val="Default"/>
                        <w:shd w:val="clear" w:color="auto" w:fill="F4B083" w:themeFill="accent2" w:themeFillTint="99"/>
                        <w:spacing w:lineRule="auto" w:line="360" w:before="0" w:after="240"/>
                        <w:jc w:val="both"/>
                        <w:rPr>
                          <w:rFonts w:ascii="Calibri" w:hAnsi="Calibri" w:asciiTheme="minorHAnsi" w:hAnsiTheme="minorHAnsi"/>
                          <w:i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1-Para os CAU/UF que arrecadaram até a data de corte (19/05) 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acima 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de 10 % da receita de arrecadação de exercícios anteriores (previsto na Súmula 92/2020-CPFI) foi  considerado o valor arrecadado dos 10 % acrescido ao valor da arrecadação do exercício; </w:t>
                      </w:r>
                    </w:p>
                    <w:p>
                      <w:pPr>
                        <w:pStyle w:val="Default"/>
                        <w:shd w:val="clear" w:color="auto" w:fill="F4B083" w:themeFill="accent2" w:themeFillTint="99"/>
                        <w:spacing w:lineRule="auto" w:line="360" w:before="0" w:after="240"/>
                        <w:jc w:val="both"/>
                        <w:rPr>
                          <w:rFonts w:ascii="Calibri" w:hAnsi="Calibri" w:asciiTheme="minorHAnsi" w:hAnsiTheme="minorHAnsi"/>
                          <w:i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2- Para os CAU/UF que a arrecadaram até a data de corte 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>abaixo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 dos 10%, da receita de arrecadação do exercícios anteriores, foi considerado o valor arrecadado de exercícios anteriores acrescido ao valor da arrecadação do exercício.</w:t>
                      </w:r>
                    </w:p>
                    <w:p>
                      <w:pPr>
                        <w:pStyle w:val="Contedodoquadro"/>
                        <w:shd w:val="clear" w:color="auto" w:fill="F4B083" w:themeFill="accent2" w:themeFillTint="99"/>
                        <w:spacing w:lineRule="auto" w:line="360" w:before="0" w:after="160"/>
                        <w:jc w:val="both"/>
                        <w:rPr>
                          <w:b/>
                          <w:b/>
                          <w:i/>
                          <w:i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ListParagraph"/>
        <w:tabs>
          <w:tab w:val="clear" w:pos="708"/>
          <w:tab w:val="left" w:pos="0" w:leader="none"/>
        </w:tabs>
        <w:spacing w:lineRule="auto" w:line="360" w:before="240" w:after="200"/>
        <w:ind w:left="0" w:firstLine="851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</w:p>
    <w:p>
      <w:pPr>
        <w:pStyle w:val="ListParagraph"/>
        <w:tabs>
          <w:tab w:val="clear" w:pos="708"/>
          <w:tab w:val="left" w:pos="0" w:leader="none"/>
        </w:tabs>
        <w:spacing w:lineRule="auto" w:line="360" w:before="240" w:after="200"/>
        <w:ind w:left="0" w:firstLine="851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</w:p>
    <w:p>
      <w:pPr>
        <w:pStyle w:val="ListParagraph"/>
        <w:tabs>
          <w:tab w:val="clear" w:pos="708"/>
          <w:tab w:val="left" w:pos="0" w:leader="none"/>
        </w:tabs>
        <w:spacing w:lineRule="auto" w:line="360" w:before="240" w:after="200"/>
        <w:ind w:left="0" w:firstLine="851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</w:p>
    <w:p>
      <w:pPr>
        <w:pStyle w:val="ListParagraph"/>
        <w:tabs>
          <w:tab w:val="clear" w:pos="708"/>
          <w:tab w:val="left" w:pos="0" w:leader="none"/>
        </w:tabs>
        <w:spacing w:lineRule="auto" w:line="360" w:before="240" w:after="200"/>
        <w:ind w:left="0" w:firstLine="851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</w:p>
    <w:p>
      <w:pPr>
        <w:pStyle w:val="ListParagraph"/>
        <w:tabs>
          <w:tab w:val="clear" w:pos="708"/>
          <w:tab w:val="left" w:pos="0" w:leader="none"/>
        </w:tabs>
        <w:spacing w:lineRule="auto" w:line="360" w:before="240" w:after="200"/>
        <w:ind w:left="0" w:firstLine="851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</w:p>
    <w:p>
      <w:pPr>
        <w:pStyle w:val="ListParagraph"/>
        <w:tabs>
          <w:tab w:val="clear" w:pos="708"/>
          <w:tab w:val="left" w:pos="0" w:leader="none"/>
        </w:tabs>
        <w:spacing w:lineRule="auto" w:line="360" w:before="240" w:after="200"/>
        <w:ind w:left="0" w:firstLine="851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</w:p>
    <w:p>
      <w:pPr>
        <w:pStyle w:val="ListParagraph"/>
        <w:tabs>
          <w:tab w:val="clear" w:pos="708"/>
          <w:tab w:val="left" w:pos="0" w:leader="none"/>
        </w:tabs>
        <w:spacing w:lineRule="auto" w:line="360" w:before="240" w:after="200"/>
        <w:ind w:left="0" w:firstLine="851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</w:p>
    <w:p>
      <w:pPr>
        <w:pStyle w:val="ListParagraph"/>
        <w:tabs>
          <w:tab w:val="clear" w:pos="708"/>
          <w:tab w:val="left" w:pos="0" w:leader="none"/>
        </w:tabs>
        <w:spacing w:lineRule="auto" w:line="360" w:before="240" w:after="200"/>
        <w:ind w:left="0" w:firstLine="851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</w:p>
    <w:p>
      <w:pPr>
        <w:pStyle w:val="ListParagraph"/>
        <w:tabs>
          <w:tab w:val="clear" w:pos="708"/>
          <w:tab w:val="left" w:pos="0" w:leader="none"/>
        </w:tabs>
        <w:spacing w:lineRule="auto" w:line="360" w:before="240" w:after="200"/>
        <w:ind w:left="0" w:firstLine="851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</w:p>
    <w:p>
      <w:pPr>
        <w:pStyle w:val="ListParagraph"/>
        <w:tabs>
          <w:tab w:val="clear" w:pos="708"/>
          <w:tab w:val="left" w:pos="0" w:leader="none"/>
        </w:tabs>
        <w:spacing w:lineRule="auto" w:line="360" w:before="240" w:after="200"/>
        <w:ind w:left="0" w:firstLine="851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</w:p>
    <w:p>
      <w:pPr>
        <w:pStyle w:val="Ttulo1"/>
        <w:numPr>
          <w:ilvl w:val="0"/>
          <w:numId w:val="3"/>
        </w:numPr>
        <w:jc w:val="both"/>
        <w:rPr>
          <w:color w:val="006666"/>
          <w:sz w:val="28"/>
          <w:szCs w:val="28"/>
        </w:rPr>
      </w:pPr>
      <w:bookmarkStart w:id="260" w:name="_Toc78546297"/>
      <w:bookmarkStart w:id="261" w:name="_Toc45579773"/>
      <w:bookmarkStart w:id="262" w:name="_Toc45579503"/>
      <w:bookmarkStart w:id="263" w:name="_Toc45573334"/>
      <w:bookmarkStart w:id="264" w:name="_Toc45572869"/>
      <w:bookmarkStart w:id="265" w:name="_Toc45563864"/>
      <w:bookmarkStart w:id="266" w:name="_Toc263955201"/>
      <w:bookmarkStart w:id="267" w:name="_Toc291765497"/>
      <w:bookmarkStart w:id="268" w:name="_Toc295915794"/>
      <w:bookmarkStart w:id="269" w:name="_Toc485391707"/>
      <w:bookmarkStart w:id="270" w:name="_Toc485394117"/>
      <w:bookmarkStart w:id="271" w:name="_Toc485395029"/>
      <w:bookmarkStart w:id="272" w:name="_Toc485637468"/>
      <w:bookmarkStart w:id="273" w:name="_Toc485638377"/>
      <w:bookmarkStart w:id="274" w:name="_Toc516740801"/>
      <w:bookmarkStart w:id="275" w:name="_Toc517110699"/>
      <w:bookmarkStart w:id="276" w:name="_Toc517111671"/>
      <w:bookmarkStart w:id="277" w:name="_Toc517111950"/>
      <w:bookmarkStart w:id="278" w:name="_Toc517188807"/>
      <w:bookmarkStart w:id="279" w:name="_Toc517194141"/>
      <w:bookmarkStart w:id="280" w:name="_Toc518381392"/>
      <w:bookmarkStart w:id="281" w:name="_Toc12119517"/>
      <w:bookmarkStart w:id="282" w:name="_Toc12120532"/>
      <w:bookmarkStart w:id="283" w:name="_Toc12185176"/>
      <w:bookmarkStart w:id="284" w:name="_Toc12204962"/>
      <w:bookmarkStart w:id="285" w:name="_Toc12224850"/>
      <w:bookmarkStart w:id="286" w:name="_Toc12224992"/>
      <w:bookmarkStart w:id="287" w:name="_Toc12225197"/>
      <w:bookmarkStart w:id="288" w:name="_Toc45533894"/>
      <w:r>
        <w:rPr>
          <w:color w:val="006666"/>
          <w:sz w:val="28"/>
          <w:szCs w:val="28"/>
        </w:rPr>
        <w:t>LIMITES DE APLICAÇÃO DE RECURSOS</w:t>
      </w:r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</w:p>
    <w:p>
      <w:pPr>
        <w:pStyle w:val="NoSpacing"/>
        <w:spacing w:lineRule="auto" w:line="360"/>
        <w:ind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Os limites e condições de alocação dos recursos estratégicos, para a reprogramação do exercício de 2021, observam os constantes no Plano de Ação aprovado para o CAU. </w:t>
      </w:r>
    </w:p>
    <w:p>
      <w:pPr>
        <w:pStyle w:val="NoSpacing"/>
        <w:spacing w:lineRule="auto" w:line="360"/>
        <w:ind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No processo de reprogramação, frente às metas previstas e os resultados alcançados no período janeiro a maio/2021 e, a novas decisões estratégicas estabelecidas pelo Conselho que acarretem alterações nas que embasaram a Reprogramação 2021, os limites máximos e mínimos estabelecidos para o exercício, e a serem observados para esta reprogramação, consideram os seguintes focos: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2.1. Objetivos Estratégicos;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2.2. Destinação de Recursos ao Fundo de Apoio Financeiro aos CAU/UF;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2.3. Destinação de Recursos ao Centro de Serviços Compartilhados;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2.4. Destinação de Recursos para Reserva de Contingência;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2.5. Grupos de Despesas.</w:t>
      </w:r>
    </w:p>
    <w:p>
      <w:pPr>
        <w:pStyle w:val="Ttulo2"/>
        <w:rPr>
          <w:color w:val="006666"/>
          <w:sz w:val="24"/>
          <w:szCs w:val="24"/>
        </w:rPr>
      </w:pPr>
      <w:bookmarkStart w:id="289" w:name="_Toc78546298"/>
      <w:bookmarkStart w:id="290" w:name="_Toc45579774"/>
      <w:bookmarkStart w:id="291" w:name="_Toc45579504"/>
      <w:bookmarkStart w:id="292" w:name="_Toc45573335"/>
      <w:bookmarkStart w:id="293" w:name="_Toc45572870"/>
      <w:bookmarkStart w:id="294" w:name="_Toc45563865"/>
      <w:bookmarkStart w:id="295" w:name="_Toc395610115"/>
      <w:bookmarkStart w:id="296" w:name="_Toc485391708"/>
      <w:bookmarkStart w:id="297" w:name="_Toc485394118"/>
      <w:bookmarkStart w:id="298" w:name="_Toc485395030"/>
      <w:bookmarkStart w:id="299" w:name="_Toc485637469"/>
      <w:bookmarkStart w:id="300" w:name="_Toc485638378"/>
      <w:bookmarkStart w:id="301" w:name="_Toc516740802"/>
      <w:bookmarkStart w:id="302" w:name="_Toc517110700"/>
      <w:bookmarkStart w:id="303" w:name="_Toc517111672"/>
      <w:bookmarkStart w:id="304" w:name="_Toc517111951"/>
      <w:bookmarkStart w:id="305" w:name="_Toc517188808"/>
      <w:bookmarkStart w:id="306" w:name="_Toc517194142"/>
      <w:bookmarkStart w:id="307" w:name="_Toc518381393"/>
      <w:bookmarkStart w:id="308" w:name="_Toc12119518"/>
      <w:bookmarkStart w:id="309" w:name="_Toc12120533"/>
      <w:bookmarkStart w:id="310" w:name="_Toc12185177"/>
      <w:bookmarkStart w:id="311" w:name="_Toc12204963"/>
      <w:bookmarkStart w:id="312" w:name="_Toc12224851"/>
      <w:bookmarkStart w:id="313" w:name="_Toc12224993"/>
      <w:bookmarkStart w:id="314" w:name="_Toc12225198"/>
      <w:bookmarkStart w:id="315" w:name="_Toc45533895"/>
      <w:r>
        <w:rPr>
          <w:color w:val="006666"/>
          <w:sz w:val="24"/>
          <w:szCs w:val="24"/>
        </w:rPr>
        <w:t>2.1 Alocação de Recursos nos Objetivos Estratégicos</w:t>
      </w:r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Os direcionadores estratégicos, objeto de todo o processo do Planejamento do CAU 2023, e das programações dos CAU/UF e do CAU/BR, na forma dos projetos e atividades aprovadas nos Planos de Ação, apontam que a reprogramação do Plano de Ação 2021, enfatizando a alocação estratégica de recursos como forma de garantir a implementação do planejamento do CAU e o alcance dos resultados institucionais da Visão de Futuro 2023, são:</w:t>
      </w:r>
    </w:p>
    <w:p>
      <w:pPr>
        <w:pStyle w:val="ListParagraph"/>
        <w:numPr>
          <w:ilvl w:val="0"/>
          <w:numId w:val="14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>
        <w:rPr>
          <w:rFonts w:eastAsia="Arial Unicode MS" w:cs="Calibri"/>
          <w:b/>
          <w:bCs/>
          <w:sz w:val="24"/>
          <w:szCs w:val="24"/>
        </w:rPr>
        <w:t xml:space="preserve">mínimo de 15,0% </w:t>
      </w:r>
      <w:r>
        <w:rPr>
          <w:rFonts w:eastAsia="Arial Unicode MS" w:cs="Calibri"/>
          <w:sz w:val="24"/>
          <w:szCs w:val="24"/>
        </w:rPr>
        <w:t xml:space="preserve">(quinze por cento) do total das receitas de arrecadação total (anuidades, RRT e taxas e multas) deduzidos os valores destinados ao Fundo de Apoio, deve ser alocado em iniciativas estratégicas para atender ao objetivo estratégico </w:t>
      </w:r>
      <w:r>
        <w:rPr>
          <w:rFonts w:eastAsia="Arial Unicode MS" w:cs="Calibri"/>
          <w:b/>
          <w:bCs/>
          <w:sz w:val="24"/>
          <w:szCs w:val="24"/>
        </w:rPr>
        <w:t>"Tornar a fiscalização um vetor de melhoria do exercício da Arquitetura e Urbanismo</w:t>
      </w:r>
      <w:r>
        <w:rPr>
          <w:rFonts w:eastAsia="Arial Unicode MS" w:cs="Calibri"/>
          <w:sz w:val="24"/>
          <w:szCs w:val="24"/>
        </w:rPr>
        <w:t>".</w:t>
      </w:r>
    </w:p>
    <w:p>
      <w:pPr>
        <w:pStyle w:val="ListParagraph"/>
        <w:numPr>
          <w:ilvl w:val="0"/>
          <w:numId w:val="14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>
        <w:rPr>
          <w:rFonts w:eastAsia="Arial Unicode MS" w:cs="Calibri"/>
          <w:b/>
          <w:bCs/>
          <w:sz w:val="24"/>
          <w:szCs w:val="24"/>
        </w:rPr>
        <w:t>mínimo de 10,0%</w:t>
      </w:r>
      <w:r>
        <w:rPr>
          <w:rFonts w:eastAsia="Arial Unicode MS" w:cs="Calibri"/>
          <w:sz w:val="24"/>
          <w:szCs w:val="24"/>
        </w:rPr>
        <w:t xml:space="preserve"> (dez por cento) do total das receitas de arrecadação total (anuidades, RRT e taxas e multas) deduzidos os valores destinados ao Fundo de Apoio, deve ser alocado em iniciativas estratégicas para atender ao objetivo estratégico </w:t>
      </w:r>
      <w:r>
        <w:rPr>
          <w:rFonts w:eastAsia="Arial Unicode MS" w:cs="Calibri"/>
          <w:b/>
          <w:bCs/>
          <w:sz w:val="24"/>
          <w:szCs w:val="24"/>
        </w:rPr>
        <w:t>"Assegurar a eficácia no atendimento e no relacionamento com os arquitetos e urbanistas e a sociedade"</w:t>
      </w:r>
      <w:r>
        <w:rPr>
          <w:rFonts w:eastAsia="Arial Unicode MS" w:cs="Calibri"/>
          <w:sz w:val="24"/>
          <w:szCs w:val="24"/>
        </w:rPr>
        <w:t>.</w:t>
      </w:r>
    </w:p>
    <w:p>
      <w:pPr>
        <w:pStyle w:val="ListParagraph"/>
        <w:numPr>
          <w:ilvl w:val="0"/>
          <w:numId w:val="14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>
        <w:rPr>
          <w:rFonts w:eastAsia="Arial Unicode MS" w:cs="Calibri"/>
          <w:b/>
          <w:bCs/>
          <w:sz w:val="24"/>
          <w:szCs w:val="24"/>
        </w:rPr>
        <w:t>mínimo de 6,0%</w:t>
      </w:r>
      <w:r>
        <w:rPr>
          <w:rFonts w:eastAsia="Arial Unicode MS" w:cs="Calibri"/>
          <w:sz w:val="24"/>
          <w:szCs w:val="24"/>
        </w:rPr>
        <w:t xml:space="preserve"> (seis por cento) do total das receitas de arrecadação total (anuidades, RRT e taxas e multas) deduzidos os valores destinados ao Fundo de Apoio, deve ser alocado em iniciativas estratégicas para atender dois ou três objetivos estratégicos locais selecionados pelo CAU/BR e pelos CAU/UF.</w:t>
      </w:r>
    </w:p>
    <w:p>
      <w:pPr>
        <w:pStyle w:val="ListParagraph"/>
        <w:numPr>
          <w:ilvl w:val="0"/>
          <w:numId w:val="14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O</w:t>
      </w:r>
      <w:r>
        <w:rPr>
          <w:rFonts w:eastAsia="Arial Unicode MS" w:cs="Calibri"/>
          <w:b/>
          <w:bCs/>
          <w:sz w:val="24"/>
          <w:szCs w:val="24"/>
        </w:rPr>
        <w:t xml:space="preserve"> mínimo de 2,0%</w:t>
      </w:r>
      <w:r>
        <w:rPr>
          <w:rFonts w:eastAsia="Arial Unicode MS" w:cs="Calibri"/>
          <w:sz w:val="24"/>
          <w:szCs w:val="24"/>
        </w:rPr>
        <w:t xml:space="preserve"> (dois por cento) e </w:t>
      </w:r>
      <w:r>
        <w:rPr>
          <w:rFonts w:eastAsia="Arial Unicode MS" w:cs="Calibri"/>
          <w:b/>
          <w:bCs/>
          <w:sz w:val="24"/>
          <w:szCs w:val="24"/>
        </w:rPr>
        <w:t>máximo de 4%</w:t>
      </w:r>
      <w:r>
        <w:rPr>
          <w:rFonts w:eastAsia="Arial Unicode MS" w:cs="Calibri"/>
          <w:sz w:val="24"/>
          <w:szCs w:val="24"/>
        </w:rPr>
        <w:t xml:space="preserve"> (quatro por cento) do valor total da respectiva folha de pagamento (salários, encargos e benefícios), do CAU/UF e do CAU/BR, deve ser alocado em ações de capacitação dos seus conselheiros e colaboradores, para atender ao objetivo estratégico </w:t>
      </w:r>
      <w:r>
        <w:rPr>
          <w:rFonts w:eastAsia="Arial Unicode MS" w:cs="Calibri"/>
          <w:b/>
          <w:bCs/>
          <w:sz w:val="24"/>
          <w:szCs w:val="24"/>
        </w:rPr>
        <w:t>"Desenvolver competências de dirigentes e colaboradores".</w:t>
      </w:r>
      <w:r>
        <w:rPr>
          <w:rFonts w:eastAsia="Arial Unicode MS" w:cs="Calibri"/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14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>
        <w:rPr>
          <w:rFonts w:eastAsia="Arial Unicode MS" w:cs="Calibri"/>
          <w:b/>
          <w:bCs/>
          <w:sz w:val="24"/>
          <w:szCs w:val="24"/>
        </w:rPr>
        <w:t>mínimo de 3,0%</w:t>
      </w:r>
      <w:r>
        <w:rPr>
          <w:rFonts w:eastAsia="Arial Unicode MS" w:cs="Calibri"/>
          <w:sz w:val="24"/>
          <w:szCs w:val="24"/>
        </w:rPr>
        <w:t xml:space="preserve"> (três por cento) do total das receitas de arrecadação total (anuidades, RRT e taxas e multas) deduzidos os valores destinados ao Fundo de Apoio, deve ser alocado em iniciativas estratégicas para atender o objetivo estratégico </w:t>
      </w:r>
      <w:r>
        <w:rPr>
          <w:rFonts w:eastAsia="Arial Unicode MS" w:cs="Calibri"/>
          <w:b/>
          <w:bCs/>
          <w:sz w:val="24"/>
          <w:szCs w:val="24"/>
        </w:rPr>
        <w:t>"Assegurar a eficácia no relacionamento e comunicação com a sociedade".</w:t>
      </w:r>
    </w:p>
    <w:p>
      <w:pPr>
        <w:pStyle w:val="ListParagraph"/>
        <w:numPr>
          <w:ilvl w:val="0"/>
          <w:numId w:val="14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>
        <w:rPr>
          <w:rFonts w:eastAsia="Arial Unicode MS" w:cs="Calibri"/>
          <w:b/>
          <w:bCs/>
          <w:sz w:val="24"/>
          <w:szCs w:val="24"/>
        </w:rPr>
        <w:t>máximo de 5,0%</w:t>
      </w:r>
      <w:r>
        <w:rPr>
          <w:rFonts w:eastAsia="Arial Unicode MS" w:cs="Calibri"/>
          <w:sz w:val="24"/>
          <w:szCs w:val="24"/>
        </w:rPr>
        <w:t xml:space="preserve"> (cinco por cento) do total dos recursos oriundos das receitas de arrecadação total (anuidades, RRT e taxas e multas) deduzidos os valores destinados ao Fundo de Apoio, deve ser alocado em </w:t>
      </w:r>
      <w:r>
        <w:rPr>
          <w:rFonts w:eastAsia="Arial Unicode MS" w:cs="Calibri"/>
          <w:b/>
          <w:bCs/>
          <w:sz w:val="24"/>
          <w:szCs w:val="24"/>
        </w:rPr>
        <w:t>patrocínios</w:t>
      </w:r>
      <w:r>
        <w:rPr>
          <w:rFonts w:eastAsia="Arial Unicode MS" w:cs="Calibri"/>
          <w:sz w:val="24"/>
          <w:szCs w:val="24"/>
        </w:rPr>
        <w:t xml:space="preserve"> para atender ao objetivo estratégico </w:t>
      </w:r>
      <w:r>
        <w:rPr>
          <w:rFonts w:eastAsia="Arial Unicode MS" w:cs="Calibri"/>
          <w:b/>
          <w:bCs/>
          <w:sz w:val="24"/>
          <w:szCs w:val="24"/>
        </w:rPr>
        <w:t>"Estimular o conhecimento, o uso de processos criativos e a difusão das melhores práticas em Arquitetura e Urbanismo"</w:t>
      </w:r>
      <w:r>
        <w:rPr>
          <w:rFonts w:eastAsia="Arial Unicode MS" w:cs="Calibri"/>
          <w:sz w:val="24"/>
          <w:szCs w:val="24"/>
        </w:rPr>
        <w:t>.</w:t>
      </w:r>
    </w:p>
    <w:p>
      <w:pPr>
        <w:pStyle w:val="ListParagraph"/>
        <w:numPr>
          <w:ilvl w:val="0"/>
          <w:numId w:val="14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>
        <w:rPr>
          <w:rFonts w:eastAsia="Arial Unicode MS" w:cs="Calibri"/>
          <w:b/>
          <w:bCs/>
          <w:sz w:val="24"/>
          <w:szCs w:val="24"/>
        </w:rPr>
        <w:t>mínimo de 2,0%</w:t>
      </w:r>
      <w:r>
        <w:rPr>
          <w:rFonts w:eastAsia="Arial Unicode MS" w:cs="Calibri"/>
          <w:sz w:val="24"/>
          <w:szCs w:val="24"/>
        </w:rPr>
        <w:t xml:space="preserve"> (dois por cento) do total dos recursos oriundos das receitas de arrecadação total (anuidades, RRT e taxas e multas) deduzidos os valores destinados ao Fundo de Apoio, deve ser alocado em iniciativas estratégicas de Assistência Técnica em Habitações de Interesse Social - ATHIS, para atender ao objetivo Estratégico </w:t>
      </w:r>
      <w:r>
        <w:rPr>
          <w:rFonts w:eastAsia="Arial Unicode MS" w:cs="Calibri"/>
          <w:b/>
          <w:bCs/>
          <w:sz w:val="24"/>
          <w:szCs w:val="24"/>
        </w:rPr>
        <w:t>"Fomentar o acesso da sociedade à arquitetura e urbanismo"</w:t>
      </w:r>
      <w:r>
        <w:rPr>
          <w:rFonts w:eastAsia="Arial Unicode MS" w:cs="Calibri"/>
          <w:sz w:val="24"/>
          <w:szCs w:val="24"/>
        </w:rPr>
        <w:t>. Conforme Resolução nº 94/2014, os projetos, nessa modalidade, devem observar os seguintes parâmetros e objetivos, dentre outros: (i) promover a produção de conhecimento que oriente o exercício profissional e o seu aperfeiçoamento; (ii) promover o desenvolvimento e o fortalecimento do ensino e do exercício profissional da Arquitetura e Urbanismo; (iii) promover a produção e disseminação de material técnico-profissional de interesse da Arquitetura e Urbanismo;  (iv) sensibilizar, informar, educar e difundir conhecimentos e/ou troca de experiências com vista ao desenvolvimento, modernização e fortalecimento da Arquitetura e Urbanismo; (v) promover a produção de conhecimento na área de Assistência Técnica para Habitação de Interesse Social (ATHIS), que oriente o exercício profissional e o seu aperfeiçoamento, dentre outros.</w:t>
      </w:r>
    </w:p>
    <w:p>
      <w:pPr>
        <w:pStyle w:val="Normal"/>
        <w:spacing w:lineRule="auto" w:line="360"/>
        <w:ind w:left="709" w:hanging="0"/>
        <w:jc w:val="both"/>
        <w:rPr>
          <w:rFonts w:eastAsia="Arial Unicode MS" w:cs="Calibri"/>
          <w:i/>
          <w:i/>
          <w:iCs/>
          <w:sz w:val="24"/>
          <w:szCs w:val="24"/>
          <w:lang w:eastAsia="pt-BR"/>
        </w:rPr>
      </w:pPr>
      <w:r>
        <w:rPr>
          <w:rFonts w:eastAsia="Arial Unicode MS" w:cs="Calibri"/>
          <w:b/>
          <w:bCs/>
          <w:i/>
          <w:iCs/>
          <w:sz w:val="24"/>
          <w:szCs w:val="24"/>
          <w:lang w:eastAsia="pt-BR"/>
        </w:rPr>
        <w:t>Obs.:</w:t>
      </w:r>
      <w:r>
        <w:rPr>
          <w:rFonts w:eastAsia="Arial Unicode MS" w:cs="Calibri"/>
          <w:sz w:val="24"/>
          <w:szCs w:val="24"/>
          <w:lang w:eastAsia="pt-BR"/>
        </w:rPr>
        <w:t xml:space="preserve"> </w:t>
      </w:r>
      <w:r>
        <w:rPr>
          <w:rFonts w:eastAsia="Arial Unicode MS" w:cs="Calibri"/>
          <w:i/>
          <w:iCs/>
          <w:sz w:val="24"/>
          <w:szCs w:val="24"/>
          <w:lang w:eastAsia="pt-BR"/>
        </w:rPr>
        <w:t>No caso dos CAU/Básico, o valor a ser destinado aos objetivos estratégicos, na forma elencada anteriormente, além das receitas de arrecadação também inclui os valores a serem recebidos do Fundo de Apoio, nos montantes constantes da presente Diretrizes.</w:t>
      </w:r>
    </w:p>
    <w:p>
      <w:pPr>
        <w:pStyle w:val="Normal"/>
        <w:spacing w:lineRule="auto" w:line="360"/>
        <w:ind w:left="709" w:hanging="0"/>
        <w:jc w:val="both"/>
        <w:rPr>
          <w:rFonts w:eastAsia="Arial Unicode MS" w:cs="Calibri"/>
          <w:sz w:val="24"/>
          <w:szCs w:val="24"/>
          <w:lang w:eastAsia="pt-BR"/>
        </w:rPr>
      </w:pPr>
      <w:r>
        <w:rPr>
          <w:rFonts w:eastAsia="Arial Unicode MS" w:cs="Calibri"/>
          <w:sz w:val="24"/>
          <w:szCs w:val="24"/>
          <w:lang w:eastAsia="pt-BR"/>
        </w:rPr>
      </w:r>
    </w:p>
    <w:p>
      <w:pPr>
        <w:pStyle w:val="Normal"/>
        <w:spacing w:lineRule="auto" w:line="360"/>
        <w:ind w:left="709" w:hanging="0"/>
        <w:jc w:val="both"/>
        <w:rPr>
          <w:rFonts w:eastAsia="Arial Unicode MS" w:cs="Calibri"/>
          <w:sz w:val="24"/>
          <w:szCs w:val="24"/>
          <w:lang w:eastAsia="pt-BR"/>
        </w:rPr>
      </w:pPr>
      <w:r>
        <w:rPr>
          <w:rFonts w:eastAsia="Arial Unicode MS" w:cs="Calibri"/>
          <w:sz w:val="24"/>
          <w:szCs w:val="24"/>
          <w:lang w:eastAsia="pt-BR"/>
        </w:rPr>
        <w:t xml:space="preserve"> </w:t>
      </w:r>
    </w:p>
    <w:p>
      <w:pPr>
        <w:pStyle w:val="Normal"/>
        <w:spacing w:lineRule="auto" w:line="360"/>
        <w:ind w:left="709" w:hanging="0"/>
        <w:jc w:val="both"/>
        <w:rPr>
          <w:rFonts w:eastAsia="Arial Unicode MS" w:cs="Calibri"/>
          <w:sz w:val="24"/>
          <w:szCs w:val="24"/>
          <w:lang w:eastAsia="pt-BR"/>
        </w:rPr>
      </w:pPr>
      <w:r>
        <w:rPr>
          <w:rFonts w:eastAsia="Arial Unicode MS" w:cs="Calibri"/>
          <w:sz w:val="24"/>
          <w:szCs w:val="24"/>
          <w:lang w:eastAsia="pt-BR"/>
        </w:rPr>
      </w:r>
    </w:p>
    <w:p>
      <w:pPr>
        <w:pStyle w:val="Normal"/>
        <w:spacing w:lineRule="auto" w:line="360"/>
        <w:ind w:left="709" w:hanging="0"/>
        <w:jc w:val="both"/>
        <w:rPr>
          <w:rFonts w:eastAsia="Arial Unicode MS" w:cs="Calibri"/>
          <w:sz w:val="24"/>
          <w:szCs w:val="24"/>
          <w:lang w:eastAsia="pt-BR"/>
        </w:rPr>
      </w:pPr>
      <w:r>
        <w:rPr>
          <w:rFonts w:eastAsia="Arial Unicode MS" w:cs="Calibri"/>
          <w:sz w:val="24"/>
          <w:szCs w:val="24"/>
          <w:lang w:eastAsia="pt-BR"/>
        </w:rPr>
        <mc:AlternateContent>
          <mc:Choice Requires="wps">
            <w:drawing>
              <wp:anchor behindDoc="0" distT="0" distB="0" distL="0" distR="0" simplePos="0" locked="0" layoutInCell="0" allowOverlap="1" relativeHeight="103" wp14:anchorId="47E369C8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760085" cy="2667635"/>
                <wp:effectExtent l="0" t="0" r="0" b="0"/>
                <wp:wrapNone/>
                <wp:docPr id="19" name="Caixa de Texto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280" cy="2666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hd w:val="clear" w:color="auto" w:fill="F4B083" w:themeFill="accent2" w:themeFillTint="99"/>
                              <w:spacing w:lineRule="auto" w:line="360" w:before="0" w:after="0"/>
                              <w:jc w:val="both"/>
                              <w:rPr>
                                <w:rFonts w:eastAsia="Arial Unicode MS" w:cs="Calibri"/>
                                <w:b/>
                                <w:b/>
                                <w:i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i/>
                                <w:color w:val="ED7D31"/>
                                <w:sz w:val="24"/>
                                <w:szCs w:val="24"/>
                              </w:rPr>
                              <w:t xml:space="preserve">Nota 5:  </w:t>
                            </w:r>
                            <w:r>
                              <w:rPr>
                                <w:rFonts w:eastAsia="Arial Unicode MS" w:cs="Calibri"/>
                                <w:bCs/>
                                <w:i/>
                                <w:color w:val="ED7D31"/>
                                <w:sz w:val="24"/>
                                <w:szCs w:val="24"/>
                              </w:rPr>
                              <w:t>Na proposta de reprogramação do Plano de Ação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color w:val="ED7D31"/>
                                <w:sz w:val="24"/>
                                <w:szCs w:val="24"/>
                              </w:rPr>
                              <w:t xml:space="preserve">, fica 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color w:val="ED7D31"/>
                                <w:sz w:val="24"/>
                                <w:szCs w:val="24"/>
                                <w:u w:val="single"/>
                              </w:rPr>
                              <w:t>VEDADA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color w:val="ED7D3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eastAsia="Arial Unicode MS" w:cs="Calibri"/>
                                <w:bCs/>
                                <w:i/>
                                <w:color w:val="ED7D31"/>
                                <w:sz w:val="24"/>
                                <w:szCs w:val="24"/>
                              </w:rPr>
                              <w:t xml:space="preserve">a inobservância de aplicação do percentual mínimo, referenciado na Recieta de Arrecadação Líquida (RAL), de 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color w:val="ED7D31"/>
                                <w:sz w:val="24"/>
                                <w:szCs w:val="24"/>
                              </w:rPr>
                              <w:t>15% (quinze por cento) nas atividades de Fiscalizaçao, e do percentual máximo de 55% (cinquenta e cinco por cento) da Receita Crrente para despesas com pessoal.</w:t>
                            </w:r>
                          </w:p>
                          <w:p>
                            <w:pPr>
                              <w:pStyle w:val="Contedodoquadro"/>
                              <w:shd w:val="clear" w:color="auto" w:fill="F4B083" w:themeFill="accent2" w:themeFillTint="99"/>
                              <w:spacing w:lineRule="auto" w:line="360" w:before="0" w:after="0"/>
                              <w:ind w:firstLine="708"/>
                              <w:jc w:val="both"/>
                              <w:rPr>
                                <w:rFonts w:eastAsia="Arial Unicode MS" w:cs="Calibri"/>
                                <w:b/>
                                <w:b/>
                                <w:i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/>
                                <w:bCs/>
                                <w:i/>
                                <w:color w:val="ED7D31"/>
                                <w:sz w:val="24"/>
                                <w:szCs w:val="24"/>
                              </w:rPr>
                              <w:t xml:space="preserve">Os órgãos deliberativos dos CAU/UF e CAU/BR poderão, 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color w:val="ED7D31"/>
                                <w:sz w:val="24"/>
                                <w:szCs w:val="24"/>
                              </w:rPr>
                              <w:t>mediante justificativas próprias, flexibilizar a aplicação de recursos mínimos e máximos descritos no item 2.1.</w:t>
                            </w:r>
                          </w:p>
                          <w:p>
                            <w:pPr>
                              <w:pStyle w:val="Contedodoquadro"/>
                              <w:shd w:val="clear" w:color="auto" w:fill="F4B083" w:themeFill="accent2" w:themeFillTint="99"/>
                              <w:spacing w:lineRule="auto" w:line="360" w:before="0" w:after="0"/>
                              <w:ind w:firstLine="708"/>
                              <w:jc w:val="both"/>
                              <w:rPr>
                                <w:rFonts w:eastAsia="Arial Unicode MS" w:cs="Calibri"/>
                                <w:bCs/>
                                <w:i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/>
                                <w:bCs/>
                                <w:i/>
                                <w:color w:val="ED7D31"/>
                                <w:sz w:val="24"/>
                                <w:szCs w:val="24"/>
                              </w:rPr>
                              <w:t>O CAU/UF e CAU/BR deverão justificar, no relatório de gestão,  o não atingimento do índice de Fiscalização, considerando as ações desenvolvidas para o alcance das metas e dos resultados previstos.</w:t>
                            </w:r>
                          </w:p>
                          <w:p>
                            <w:pPr>
                              <w:pStyle w:val="Contedodoquadro"/>
                              <w:shd w:val="clear" w:color="auto" w:fill="F4B083" w:themeFill="accent2" w:themeFillTint="99"/>
                              <w:spacing w:lineRule="auto" w:line="360" w:before="0" w:after="160"/>
                              <w:jc w:val="both"/>
                              <w:rPr>
                                <w:b/>
                                <w:b/>
                                <w:i/>
                                <w:i/>
                              </w:rPr>
                            </w:pPr>
                            <w:r>
                              <w:rPr>
                                <w:color w:val="ED7D31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2" path="m0,0l-2147483645,0l-2147483645,-2147483646l0,-2147483646xe" stroked="f" style="position:absolute;margin-left:0pt;margin-top:0.55pt;width:453.45pt;height:209.95pt;mso-wrap-style:square;v-text-anchor:top;mso-position-horizontal:left;mso-position-horizontal-relative:margin" wp14:anchorId="47E369C8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hd w:val="clear" w:color="auto" w:fill="F4B083" w:themeFill="accent2" w:themeFillTint="99"/>
                        <w:spacing w:lineRule="auto" w:line="360" w:before="0" w:after="0"/>
                        <w:jc w:val="both"/>
                        <w:rPr>
                          <w:rFonts w:eastAsia="Arial Unicode MS" w:cs="Calibri"/>
                          <w:b/>
                          <w:b/>
                          <w:i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eastAsia="Arial Unicode MS" w:cs="Calibri"/>
                          <w:b/>
                          <w:i/>
                          <w:color w:val="ED7D31"/>
                          <w:sz w:val="24"/>
                          <w:szCs w:val="24"/>
                        </w:rPr>
                        <w:t xml:space="preserve">Nota 5:  </w:t>
                      </w:r>
                      <w:r>
                        <w:rPr>
                          <w:rFonts w:eastAsia="Arial Unicode MS" w:cs="Calibri"/>
                          <w:bCs/>
                          <w:i/>
                          <w:color w:val="ED7D31"/>
                          <w:sz w:val="24"/>
                          <w:szCs w:val="24"/>
                        </w:rPr>
                        <w:t>Na proposta de reprogramação do Plano de Ação</w:t>
                      </w:r>
                      <w:r>
                        <w:rPr>
                          <w:rFonts w:eastAsia="Arial Unicode MS" w:cs="Calibri"/>
                          <w:b/>
                          <w:i/>
                          <w:color w:val="ED7D31"/>
                          <w:sz w:val="24"/>
                          <w:szCs w:val="24"/>
                        </w:rPr>
                        <w:t xml:space="preserve">, fica </w:t>
                      </w:r>
                      <w:r>
                        <w:rPr>
                          <w:rFonts w:eastAsia="Arial Unicode MS" w:cs="Calibri"/>
                          <w:b/>
                          <w:i/>
                          <w:color w:val="ED7D31"/>
                          <w:sz w:val="24"/>
                          <w:szCs w:val="24"/>
                          <w:u w:val="single"/>
                        </w:rPr>
                        <w:t>VEDADA</w:t>
                      </w:r>
                      <w:r>
                        <w:rPr>
                          <w:rFonts w:eastAsia="Arial Unicode MS" w:cs="Calibri"/>
                          <w:b/>
                          <w:i/>
                          <w:color w:val="ED7D31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eastAsia="Arial Unicode MS" w:cs="Calibri"/>
                          <w:bCs/>
                          <w:i/>
                          <w:color w:val="ED7D31"/>
                          <w:sz w:val="24"/>
                          <w:szCs w:val="24"/>
                        </w:rPr>
                        <w:t xml:space="preserve">a inobservância de aplicação do percentual mínimo, referenciado na Recieta de Arrecadação Líquida (RAL), de </w:t>
                      </w:r>
                      <w:r>
                        <w:rPr>
                          <w:rFonts w:eastAsia="Arial Unicode MS" w:cs="Calibri"/>
                          <w:b/>
                          <w:i/>
                          <w:color w:val="ED7D31"/>
                          <w:sz w:val="24"/>
                          <w:szCs w:val="24"/>
                        </w:rPr>
                        <w:t>15% (quinze por cento) nas atividades de Fiscalizaçao, e do percentual máximo de 55% (cinquenta e cinco por cento) da Receita Crrente para despesas com pessoal.</w:t>
                      </w:r>
                    </w:p>
                    <w:p>
                      <w:pPr>
                        <w:pStyle w:val="Contedodoquadro"/>
                        <w:shd w:val="clear" w:color="auto" w:fill="F4B083" w:themeFill="accent2" w:themeFillTint="99"/>
                        <w:spacing w:lineRule="auto" w:line="360" w:before="0" w:after="0"/>
                        <w:ind w:firstLine="708"/>
                        <w:jc w:val="both"/>
                        <w:rPr>
                          <w:rFonts w:eastAsia="Arial Unicode MS" w:cs="Calibri"/>
                          <w:b/>
                          <w:b/>
                          <w:i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eastAsia="Arial Unicode MS" w:cs="Calibri"/>
                          <w:bCs/>
                          <w:i/>
                          <w:color w:val="ED7D31"/>
                          <w:sz w:val="24"/>
                          <w:szCs w:val="24"/>
                        </w:rPr>
                        <w:t xml:space="preserve">Os órgãos deliberativos dos CAU/UF e CAU/BR poderão, </w:t>
                      </w:r>
                      <w:r>
                        <w:rPr>
                          <w:rFonts w:eastAsia="Arial Unicode MS" w:cs="Calibri"/>
                          <w:b/>
                          <w:i/>
                          <w:color w:val="ED7D31"/>
                          <w:sz w:val="24"/>
                          <w:szCs w:val="24"/>
                        </w:rPr>
                        <w:t>mediante justificativas próprias, flexibilizar a aplicação de recursos mínimos e máximos descritos no item 2.1.</w:t>
                      </w:r>
                    </w:p>
                    <w:p>
                      <w:pPr>
                        <w:pStyle w:val="Contedodoquadro"/>
                        <w:shd w:val="clear" w:color="auto" w:fill="F4B083" w:themeFill="accent2" w:themeFillTint="99"/>
                        <w:spacing w:lineRule="auto" w:line="360" w:before="0" w:after="0"/>
                        <w:ind w:firstLine="708"/>
                        <w:jc w:val="both"/>
                        <w:rPr>
                          <w:rFonts w:eastAsia="Arial Unicode MS" w:cs="Calibri"/>
                          <w:bCs/>
                          <w:i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eastAsia="Arial Unicode MS" w:cs="Calibri"/>
                          <w:bCs/>
                          <w:i/>
                          <w:color w:val="ED7D31"/>
                          <w:sz w:val="24"/>
                          <w:szCs w:val="24"/>
                        </w:rPr>
                        <w:t>O CAU/UF e CAU/BR deverão justificar, no relatório de gestão,  o não atingimento do índice de Fiscalização, considerando as ações desenvolvidas para o alcance das metas e dos resultados previstos.</w:t>
                      </w:r>
                    </w:p>
                    <w:p>
                      <w:pPr>
                        <w:pStyle w:val="Contedodoquadro"/>
                        <w:shd w:val="clear" w:color="auto" w:fill="F4B083" w:themeFill="accent2" w:themeFillTint="99"/>
                        <w:spacing w:lineRule="auto" w:line="360" w:before="0" w:after="160"/>
                        <w:jc w:val="both"/>
                        <w:rPr>
                          <w:b/>
                          <w:b/>
                          <w:i/>
                          <w:i/>
                        </w:rPr>
                      </w:pPr>
                      <w:r>
                        <w:rPr>
                          <w:color w:val="ED7D31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360"/>
        <w:ind w:left="709" w:hanging="0"/>
        <w:jc w:val="both"/>
        <w:rPr>
          <w:rFonts w:eastAsia="Arial Unicode MS" w:cs="Calibri"/>
          <w:sz w:val="24"/>
          <w:szCs w:val="24"/>
          <w:lang w:eastAsia="pt-BR"/>
        </w:rPr>
      </w:pPr>
      <w:r>
        <w:rPr>
          <w:rFonts w:eastAsia="Arial Unicode MS" w:cs="Calibri"/>
          <w:sz w:val="24"/>
          <w:szCs w:val="24"/>
          <w:lang w:eastAsia="pt-BR"/>
        </w:rPr>
      </w:r>
    </w:p>
    <w:p>
      <w:pPr>
        <w:pStyle w:val="Normal"/>
        <w:spacing w:lineRule="auto" w:line="360"/>
        <w:ind w:left="709" w:hanging="0"/>
        <w:jc w:val="both"/>
        <w:rPr>
          <w:rFonts w:eastAsia="Arial Unicode MS" w:cs="Calibri"/>
          <w:sz w:val="24"/>
          <w:szCs w:val="24"/>
          <w:lang w:eastAsia="pt-BR"/>
        </w:rPr>
      </w:pPr>
      <w:r>
        <w:rPr>
          <w:rFonts w:eastAsia="Arial Unicode MS" w:cs="Calibri"/>
          <w:sz w:val="24"/>
          <w:szCs w:val="24"/>
          <w:lang w:eastAsia="pt-BR"/>
        </w:rPr>
      </w:r>
    </w:p>
    <w:p>
      <w:pPr>
        <w:pStyle w:val="Normal"/>
        <w:spacing w:lineRule="auto" w:line="360"/>
        <w:ind w:left="709" w:hanging="0"/>
        <w:jc w:val="both"/>
        <w:rPr>
          <w:rFonts w:eastAsia="Arial Unicode MS" w:cs="Calibri"/>
          <w:sz w:val="24"/>
          <w:szCs w:val="24"/>
          <w:lang w:eastAsia="pt-BR"/>
        </w:rPr>
      </w:pPr>
      <w:r>
        <w:rPr>
          <w:rFonts w:eastAsia="Arial Unicode MS" w:cs="Calibri"/>
          <w:sz w:val="24"/>
          <w:szCs w:val="24"/>
          <w:lang w:eastAsia="pt-BR"/>
        </w:rPr>
      </w:r>
    </w:p>
    <w:p>
      <w:pPr>
        <w:pStyle w:val="Normal"/>
        <w:spacing w:lineRule="auto" w:line="360"/>
        <w:ind w:left="709" w:hanging="0"/>
        <w:jc w:val="both"/>
        <w:rPr>
          <w:rFonts w:eastAsia="Arial Unicode MS" w:cs="Calibri"/>
          <w:sz w:val="24"/>
          <w:szCs w:val="24"/>
          <w:lang w:eastAsia="pt-BR"/>
        </w:rPr>
      </w:pPr>
      <w:r>
        <w:rPr>
          <w:rFonts w:eastAsia="Arial Unicode MS" w:cs="Calibri"/>
          <w:sz w:val="24"/>
          <w:szCs w:val="24"/>
          <w:lang w:eastAsia="pt-BR"/>
        </w:rPr>
      </w:r>
    </w:p>
    <w:p>
      <w:pPr>
        <w:pStyle w:val="Normal"/>
        <w:spacing w:lineRule="auto" w:line="360"/>
        <w:ind w:left="709" w:hanging="0"/>
        <w:jc w:val="both"/>
        <w:rPr>
          <w:rFonts w:eastAsia="Arial Unicode MS" w:cs="Calibri"/>
          <w:b/>
          <w:b/>
          <w:bCs/>
          <w:sz w:val="24"/>
          <w:szCs w:val="24"/>
          <w:lang w:eastAsia="pt-BR"/>
        </w:rPr>
      </w:pPr>
      <w:r>
        <w:rPr>
          <w:rFonts w:eastAsia="Arial Unicode MS" w:cs="Calibri"/>
          <w:b/>
          <w:bCs/>
          <w:sz w:val="24"/>
          <w:szCs w:val="24"/>
          <w:lang w:eastAsia="pt-BR"/>
        </w:rPr>
      </w:r>
    </w:p>
    <w:p>
      <w:pPr>
        <w:pStyle w:val="Normal"/>
        <w:spacing w:lineRule="auto" w:line="360"/>
        <w:ind w:left="709" w:hanging="0"/>
        <w:jc w:val="both"/>
        <w:rPr>
          <w:rFonts w:eastAsia="Arial Unicode MS" w:cs="Calibri"/>
          <w:b/>
          <w:b/>
          <w:bCs/>
          <w:sz w:val="24"/>
          <w:szCs w:val="24"/>
          <w:lang w:eastAsia="pt-BR"/>
        </w:rPr>
      </w:pPr>
      <w:r>
        <w:rPr>
          <w:rFonts w:eastAsia="Arial Unicode MS" w:cs="Calibri"/>
          <w:b/>
          <w:bCs/>
          <w:sz w:val="24"/>
          <w:szCs w:val="24"/>
          <w:lang w:eastAsia="pt-BR"/>
        </w:rPr>
      </w:r>
    </w:p>
    <w:p>
      <w:pPr>
        <w:pStyle w:val="Normal"/>
        <w:spacing w:lineRule="auto" w:line="360"/>
        <w:ind w:left="709" w:hanging="0"/>
        <w:jc w:val="both"/>
        <w:rPr>
          <w:rFonts w:eastAsia="Arial Unicode MS" w:cs="Calibri"/>
          <w:b/>
          <w:b/>
          <w:bCs/>
          <w:sz w:val="24"/>
          <w:szCs w:val="24"/>
          <w:lang w:eastAsia="pt-BR"/>
        </w:rPr>
      </w:pPr>
      <w:r>
        <w:rPr>
          <w:rFonts w:eastAsia="Arial Unicode MS" w:cs="Calibri"/>
          <w:b/>
          <w:bCs/>
          <w:sz w:val="24"/>
          <w:szCs w:val="24"/>
          <w:lang w:eastAsia="pt-BR"/>
        </w:rPr>
      </w:r>
    </w:p>
    <w:p>
      <w:pPr>
        <w:pStyle w:val="Ttulo2"/>
        <w:rPr>
          <w:sz w:val="24"/>
          <w:szCs w:val="24"/>
        </w:rPr>
      </w:pPr>
      <w:bookmarkStart w:id="316" w:name="_Toc78546299"/>
      <w:bookmarkStart w:id="317" w:name="_Toc45579775"/>
      <w:bookmarkStart w:id="318" w:name="_Toc45579505"/>
      <w:bookmarkStart w:id="319" w:name="_Toc45573336"/>
      <w:bookmarkStart w:id="320" w:name="_Toc45572871"/>
      <w:bookmarkStart w:id="321" w:name="_Toc45563866"/>
      <w:bookmarkStart w:id="322" w:name="_Toc395610116"/>
      <w:bookmarkStart w:id="323" w:name="_Toc485391709"/>
      <w:bookmarkStart w:id="324" w:name="_Toc485394119"/>
      <w:bookmarkStart w:id="325" w:name="_Toc485395031"/>
      <w:bookmarkStart w:id="326" w:name="_Toc485637470"/>
      <w:bookmarkStart w:id="327" w:name="_Toc485638379"/>
      <w:bookmarkStart w:id="328" w:name="_Toc516740803"/>
      <w:bookmarkStart w:id="329" w:name="_Toc517110701"/>
      <w:bookmarkStart w:id="330" w:name="_Toc517111673"/>
      <w:bookmarkStart w:id="331" w:name="_Toc517111952"/>
      <w:bookmarkStart w:id="332" w:name="_Toc517188809"/>
      <w:bookmarkStart w:id="333" w:name="_Toc517194143"/>
      <w:bookmarkStart w:id="334" w:name="_Toc518381394"/>
      <w:bookmarkStart w:id="335" w:name="_Toc12119519"/>
      <w:bookmarkStart w:id="336" w:name="_Toc12120534"/>
      <w:bookmarkStart w:id="337" w:name="_Toc12185178"/>
      <w:bookmarkStart w:id="338" w:name="_Toc12204964"/>
      <w:bookmarkStart w:id="339" w:name="_Toc12224852"/>
      <w:bookmarkStart w:id="340" w:name="_Toc12224994"/>
      <w:bookmarkStart w:id="341" w:name="_Toc12225199"/>
      <w:bookmarkStart w:id="342" w:name="_Toc45533896"/>
      <w:r>
        <w:rPr>
          <w:color w:val="006666"/>
          <w:sz w:val="24"/>
          <w:szCs w:val="24"/>
        </w:rPr>
        <w:t>2.2 Destinação de Recursos para o Fundo de Apoio Financeiro aos CAU/UF</w:t>
      </w:r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r>
        <w:rPr>
          <w:color w:val="006666"/>
          <w:sz w:val="24"/>
          <w:szCs w:val="24"/>
        </w:rPr>
        <w:t xml:space="preserve"> 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bookmarkStart w:id="343" w:name="_Hlk45542414"/>
      <w:r>
        <w:rPr>
          <w:rFonts w:eastAsia="Arial Unicode MS" w:cs="Calibri"/>
          <w:color w:val="000000" w:themeColor="text1"/>
          <w:sz w:val="24"/>
          <w:szCs w:val="24"/>
        </w:rPr>
        <w:t xml:space="preserve">O CAU/BR e os CAU/UF deverão, em </w:t>
      </w:r>
      <w:r>
        <w:rPr>
          <w:rFonts w:eastAsia="Arial Unicode MS" w:cs="Calibri"/>
          <w:b/>
          <w:bCs/>
          <w:color w:val="000000" w:themeColor="text1"/>
          <w:sz w:val="24"/>
          <w:szCs w:val="24"/>
        </w:rPr>
        <w:t>atividade específica</w:t>
      </w:r>
      <w:r>
        <w:rPr>
          <w:rFonts w:eastAsia="Arial Unicode MS" w:cs="Calibri"/>
          <w:color w:val="000000" w:themeColor="text1"/>
          <w:sz w:val="24"/>
          <w:szCs w:val="24"/>
        </w:rPr>
        <w:t xml:space="preserve"> no seu Plano de Ação, aportar recursos destinados a suportar o Fundo de Apoio Financeiro aos CAU/UF, na forma aprovada para o exercício de 2021. Esses recursos destinam-se a viabilizar a operação dos CAU/UF, enquadrados como CAU Básico, em prol do desenvolvimento e fortalecimento da profissão e da arquitetura e urbanismo. Os valores a serem considerados, por Estado, se apresentam na forma do </w:t>
      </w:r>
      <w:r>
        <w:rPr>
          <w:rFonts w:eastAsia="Arial Unicode MS" w:cs="Calibri"/>
          <w:sz w:val="24"/>
          <w:szCs w:val="24"/>
        </w:rPr>
        <w:t xml:space="preserve">Anexo X e X.I. 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color w:val="000000" w:themeColor="text1"/>
          <w:sz w:val="24"/>
          <w:szCs w:val="24"/>
          <w:highlight w:val="yellow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De acordo com a proposta nº 07/2019 aprovado pelo Colegiado de Governança do Fundo de Apoio (CGFA), em 08 de Julho de 2019, para </w:t>
      </w:r>
      <w:r>
        <w:rPr>
          <w:rFonts w:eastAsia="Arial Unicode MS" w:cs="Calibri"/>
          <w:sz w:val="24"/>
          <w:szCs w:val="24"/>
        </w:rPr>
        <w:t xml:space="preserve">2021, será mantida </w:t>
      </w:r>
      <w:r>
        <w:rPr>
          <w:rFonts w:eastAsia="Arial Unicode MS" w:cs="Calibri"/>
          <w:color w:val="000000" w:themeColor="text1"/>
          <w:sz w:val="24"/>
          <w:szCs w:val="24"/>
        </w:rPr>
        <w:t>a metodologia para o cálculo do CAU BÁSICO, que considera o potencial de gastos e demandas, de acordo com os valores orçamentários e quantidades de profissionais e empresas dos Estados.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Nesse contexto, frente às arrecadações projetadas para o CAU e o valor do CAU Básico, os CAU/UF enquadrados como CAU Básico, em 2021, são: </w:t>
      </w:r>
      <w:r>
        <w:rPr>
          <w:rFonts w:eastAsia="Arial Unicode MS" w:cs="Calibri"/>
          <w:b/>
          <w:bCs/>
          <w:color w:val="000000" w:themeColor="text1"/>
          <w:sz w:val="24"/>
          <w:szCs w:val="24"/>
        </w:rPr>
        <w:t>CAU Acre, Amapá, Amazonas, Maranhão, Piauí, Roraima, Sergipe e Tocantins</w:t>
      </w:r>
      <w:r>
        <w:rPr>
          <w:rFonts w:eastAsia="Arial Unicode MS" w:cs="Calibri"/>
          <w:color w:val="000000" w:themeColor="text1"/>
          <w:sz w:val="24"/>
          <w:szCs w:val="24"/>
        </w:rPr>
        <w:t>. O CAU/AL e CAU/RO estiveram enquadrados até setembro/2021.</w:t>
      </w:r>
    </w:p>
    <w:p>
      <w:pPr>
        <w:pStyle w:val="Normal"/>
        <w:spacing w:lineRule="auto" w:line="360" w:before="0" w:after="0"/>
        <w:ind w:left="851" w:hanging="0"/>
        <w:jc w:val="both"/>
        <w:rPr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Considerando o valor proposto para o CAU Básico, em </w:t>
      </w:r>
      <w:r>
        <w:rPr>
          <w:rFonts w:eastAsia="Arial Unicode MS" w:cs="Calibri"/>
          <w:sz w:val="24"/>
          <w:szCs w:val="24"/>
        </w:rPr>
        <w:t xml:space="preserve">2021, o valor destinado a suportar a gestão do Fundo de Apoio, na forma aprovada nas Resoluções 119 </w:t>
      </w:r>
      <w:r>
        <w:rPr>
          <w:bCs/>
          <w:color w:val="000000" w:themeColor="text1"/>
          <w:sz w:val="24"/>
          <w:szCs w:val="24"/>
        </w:rPr>
        <w:t>e a proposta CGFA nº 08/2019</w:t>
      </w:r>
      <w:r>
        <w:rPr>
          <w:rFonts w:eastAsia="Arial Unicode MS" w:cs="Calibri"/>
          <w:sz w:val="24"/>
          <w:szCs w:val="24"/>
        </w:rPr>
        <w:t xml:space="preserve">, os recursos que serão aportados no CSC na forma definida na Resolução nº 126 e 183, e os recursos para custear </w:t>
      </w:r>
      <w:r>
        <w:rPr>
          <w:rFonts w:eastAsia="Arial Unicode MS" w:cs="Calibri"/>
          <w:bCs/>
          <w:sz w:val="24"/>
          <w:szCs w:val="24"/>
        </w:rPr>
        <w:t>a participação dos Presidentes nas reuniões Plenárias Ampliadas</w:t>
      </w:r>
      <w:r>
        <w:rPr>
          <w:rFonts w:eastAsia="Arial Unicode MS" w:cs="Calibri"/>
          <w:sz w:val="24"/>
          <w:szCs w:val="24"/>
        </w:rPr>
        <w:t xml:space="preserve">, o total de recursos reprogramados necessários a suportar a operação dos CAU Básicos é de </w:t>
      </w:r>
      <w:r>
        <w:rPr>
          <w:rFonts w:eastAsia="Arial Unicode MS" w:cs="Calibri"/>
          <w:b/>
          <w:sz w:val="24"/>
          <w:szCs w:val="24"/>
        </w:rPr>
        <w:t xml:space="preserve">R$ 4,09 milhões, os quais serão </w:t>
      </w:r>
      <w:r>
        <w:rPr>
          <w:rFonts w:eastAsia="Arial Unicode MS" w:cs="Calibri"/>
          <w:b/>
          <w:i/>
          <w:sz w:val="24"/>
          <w:szCs w:val="24"/>
        </w:rPr>
        <w:t xml:space="preserve">custeados pelos aportes dos CAU/UF e do CAU/BR ao Fundo de Apoio, no montante de R$ 3,79 milhões, e pela utilização de saldos de recursos existentes no Fundo de Apoio, no valor de R$ 296,51 mil, previsto na reprogramação 2021 com acréscimo de R$ 60.659,00, conforme Proposta nº 4 /2021 do Colegiado de Governaça do Fundo de Apoio (CG-FA). </w:t>
      </w:r>
      <w:r>
        <w:rPr>
          <w:sz w:val="24"/>
          <w:szCs w:val="24"/>
        </w:rPr>
        <w:t xml:space="preserve">O detalhamento e o </w:t>
      </w:r>
      <w:r>
        <w:rPr>
          <w:b/>
          <w:bCs/>
          <w:sz w:val="24"/>
          <w:szCs w:val="24"/>
        </w:rPr>
        <w:t>Aporte Reprogramado</w:t>
      </w:r>
      <w:r>
        <w:rPr>
          <w:sz w:val="24"/>
          <w:szCs w:val="24"/>
        </w:rPr>
        <w:t xml:space="preserve"> de recursos pelos CAU/UF e CAU/BR constam dos Anexos X e X.I. </w:t>
      </w:r>
    </w:p>
    <w:p>
      <w:pPr>
        <w:pStyle w:val="Normal"/>
        <w:spacing w:lineRule="auto" w:line="360" w:before="0" w:after="0"/>
        <w:ind w:left="851" w:hanging="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bookmarkStart w:id="344" w:name="_Hlk45542414"/>
      <w:r>
        <w:rPr>
          <w:rFonts w:eastAsia="Arial Unicode MS" w:cs="Calibri"/>
          <w:sz w:val="24"/>
          <w:szCs w:val="24"/>
        </w:rPr>
        <w:t>Cabe salientar que os CAU Básico, na elaboração de sua reprogramação para 2021, deverão observar com maior rigor todos os procedimentos e estratégias estabelecidas nas presentes Diretrizes e na Resolução nº 119</w:t>
      </w:r>
      <w:bookmarkEnd w:id="344"/>
      <w:r>
        <w:rPr>
          <w:rFonts w:eastAsia="Arial Unicode MS" w:cs="Calibri"/>
          <w:sz w:val="24"/>
          <w:szCs w:val="24"/>
        </w:rPr>
        <w:t xml:space="preserve"> e</w:t>
      </w:r>
      <w:r>
        <w:rPr>
          <w:bCs/>
          <w:color w:val="000000" w:themeColor="text1"/>
          <w:sz w:val="24"/>
          <w:szCs w:val="24"/>
        </w:rPr>
        <w:t xml:space="preserve"> a proposta CGFA nº 08/2019</w:t>
      </w:r>
      <w:r>
        <w:rPr>
          <w:rFonts w:eastAsia="Arial Unicode MS" w:cs="Calibri"/>
          <w:sz w:val="24"/>
          <w:szCs w:val="24"/>
        </w:rPr>
        <w:t>, valendo ressaltar  o “Art. 6° Os recursos provenientes do Fundo de Apoio deverão ser utilizados em estrita conformidade com o Plano de Ação aprovado, sendo vedada a sua utilização para despesas de capital”. E ainda, a participação nas reuniões plenárias ampliadas e o CSC devem ser custeados pelo Fundo de Apoio. Cabe ressaltar que para o CAU/AL e o CAU/RO foram considerados 9/12 do valor da programação e o incremento do aporte ao CSC conforme a Proposta nº 4/2021.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Ttulo2"/>
        <w:rPr>
          <w:color w:val="006666"/>
          <w:sz w:val="24"/>
          <w:szCs w:val="24"/>
        </w:rPr>
      </w:pPr>
      <w:bookmarkStart w:id="345" w:name="_Toc78546300"/>
      <w:bookmarkStart w:id="346" w:name="_Toc45579776"/>
      <w:bookmarkStart w:id="347" w:name="_Toc45579506"/>
      <w:bookmarkStart w:id="348" w:name="_Toc45573337"/>
      <w:bookmarkStart w:id="349" w:name="_Toc45572872"/>
      <w:bookmarkStart w:id="350" w:name="_Toc45563867"/>
      <w:bookmarkStart w:id="351" w:name="_Toc395610117"/>
      <w:bookmarkStart w:id="352" w:name="_Toc485391710"/>
      <w:bookmarkStart w:id="353" w:name="_Toc485394120"/>
      <w:bookmarkStart w:id="354" w:name="_Toc485395032"/>
      <w:bookmarkStart w:id="355" w:name="_Toc485637471"/>
      <w:bookmarkStart w:id="356" w:name="_Toc485638380"/>
      <w:bookmarkStart w:id="357" w:name="_Toc516740804"/>
      <w:bookmarkStart w:id="358" w:name="_Toc517110702"/>
      <w:bookmarkStart w:id="359" w:name="_Toc517111674"/>
      <w:bookmarkStart w:id="360" w:name="_Toc517111953"/>
      <w:bookmarkStart w:id="361" w:name="_Toc517188810"/>
      <w:bookmarkStart w:id="362" w:name="_Toc517194144"/>
      <w:bookmarkStart w:id="363" w:name="_Toc518381395"/>
      <w:bookmarkStart w:id="364" w:name="_Toc12119520"/>
      <w:bookmarkStart w:id="365" w:name="_Toc12120535"/>
      <w:bookmarkStart w:id="366" w:name="_Toc12185179"/>
      <w:bookmarkStart w:id="367" w:name="_Toc12204965"/>
      <w:bookmarkStart w:id="368" w:name="_Toc12224853"/>
      <w:bookmarkStart w:id="369" w:name="_Toc12224995"/>
      <w:bookmarkStart w:id="370" w:name="_Toc12225200"/>
      <w:bookmarkStart w:id="371" w:name="_Toc45533897"/>
      <w:r>
        <w:rPr>
          <w:color w:val="006666"/>
          <w:sz w:val="24"/>
          <w:szCs w:val="24"/>
        </w:rPr>
        <w:t>2.3 Destinação de Recursos para o Centro de Serviços Compartilhados dos Conselhos de Arquitetura e Urbanismo</w:t>
      </w:r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</w:p>
    <w:p>
      <w:pPr>
        <w:pStyle w:val="Normal"/>
        <w:spacing w:lineRule="auto" w:line="360"/>
        <w:ind w:firstLine="851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Frente às estratégias que vem sendo adotadas, focando a incorporação dos recursos a serem aportados pelos CAU/UF, para o Centro de Serviços Compartilhados, ou seja, compondo as metas para o alcance da destinação estratégica de recursos às iniciativas estratégicas de “Atendimento” e “Fiscalização”, principais ações envolvidas nos produtos e serviços executados pelo CSC, o CAU/BR e os CAU/UF deverão, em 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duas atividades específicas </w:t>
      </w:r>
      <w:r>
        <w:rPr>
          <w:rFonts w:cs="Arial"/>
          <w:bCs/>
          <w:color w:val="000000" w:themeColor="text1"/>
          <w:sz w:val="24"/>
          <w:szCs w:val="24"/>
        </w:rPr>
        <w:t>no seu Plano de Ação</w:t>
      </w:r>
      <w:r>
        <w:rPr>
          <w:rFonts w:cs="Arial"/>
          <w:b/>
          <w:bCs/>
          <w:color w:val="000000" w:themeColor="text1"/>
          <w:sz w:val="24"/>
          <w:szCs w:val="24"/>
        </w:rPr>
        <w:t>, sendo uma vinculada ao objetivo estratégico de Fiscalização e outra ao de Atendimento</w:t>
      </w:r>
      <w:r>
        <w:rPr>
          <w:rFonts w:cs="Arial"/>
          <w:bCs/>
          <w:color w:val="000000" w:themeColor="text1"/>
          <w:sz w:val="24"/>
          <w:szCs w:val="24"/>
        </w:rPr>
        <w:t xml:space="preserve">, aportar recursos destinados a suportar os serviços e sistemas compartilhados pelo Conselho e gerenciados, em âmbito nacional, pelo CAU/BR, na forma aprovada para o exercício. Nesse contexto, do total de recursos destinados ao </w:t>
      </w:r>
      <w:r>
        <w:rPr>
          <w:rFonts w:cs="Arial"/>
          <w:b/>
          <w:bCs/>
          <w:color w:val="000000" w:themeColor="text1"/>
          <w:sz w:val="24"/>
          <w:szCs w:val="24"/>
        </w:rPr>
        <w:t>CSC – demais serviços essenciais</w:t>
      </w:r>
      <w:r>
        <w:rPr>
          <w:rFonts w:cs="Arial"/>
          <w:bCs/>
          <w:color w:val="000000" w:themeColor="text1"/>
          <w:sz w:val="24"/>
          <w:szCs w:val="24"/>
        </w:rPr>
        <w:t xml:space="preserve">, para a atividade vinculada ao objetivo estratégico de </w:t>
      </w:r>
      <w:r>
        <w:rPr>
          <w:rFonts w:eastAsia="Arial Unicode MS" w:cs="Calibri"/>
          <w:b/>
          <w:sz w:val="24"/>
          <w:szCs w:val="24"/>
        </w:rPr>
        <w:t>"Tornar a fiscalização um vetor de melhoria do exercício da Arquitetura e Urbanismo”</w:t>
      </w:r>
      <w:r>
        <w:rPr>
          <w:rFonts w:cs="Arial"/>
          <w:bCs/>
          <w:sz w:val="24"/>
          <w:szCs w:val="24"/>
        </w:rPr>
        <w:t xml:space="preserve"> e  para </w:t>
      </w:r>
      <w:r>
        <w:rPr>
          <w:rFonts w:eastAsia="Arial Unicode MS" w:cs="Calibri"/>
          <w:b/>
          <w:sz w:val="24"/>
          <w:szCs w:val="24"/>
        </w:rPr>
        <w:t>"Assegurar a eficácia no atendimento e no relacionamento com os arquitetos e urbanistas e a sociedade"</w:t>
      </w:r>
      <w:r>
        <w:rPr>
          <w:rFonts w:cs="Arial"/>
          <w:bCs/>
          <w:sz w:val="24"/>
          <w:szCs w:val="24"/>
        </w:rPr>
        <w:t xml:space="preserve"> responderá o valor do Teleatendimento mais o valor destinado a RIA. </w:t>
      </w:r>
      <w:r>
        <w:rPr>
          <w:rFonts w:eastAsia="Arial Unicode MS" w:cs="Calibri"/>
          <w:sz w:val="24"/>
          <w:szCs w:val="24"/>
        </w:rPr>
        <w:t xml:space="preserve">Neste, estão compreendidos todos os custos inerentes à plena realização dos serviços abrangidos pela </w:t>
      </w:r>
      <w:r>
        <w:rPr>
          <w:rFonts w:cs="Arial"/>
          <w:bCs/>
          <w:sz w:val="24"/>
          <w:szCs w:val="24"/>
        </w:rPr>
        <w:t xml:space="preserve">Rede Integrada de Atendimento </w:t>
      </w:r>
      <w:r>
        <w:rPr>
          <w:rFonts w:eastAsia="Arial Unicode MS" w:cs="Calibri"/>
          <w:sz w:val="24"/>
          <w:szCs w:val="24"/>
        </w:rPr>
        <w:t xml:space="preserve">– RIA e Teleatendimento, </w:t>
      </w:r>
      <w:r>
        <w:rPr>
          <w:rFonts w:cs="Arial"/>
          <w:sz w:val="24"/>
          <w:szCs w:val="24"/>
        </w:rPr>
        <w:t xml:space="preserve">incluindo uma </w:t>
      </w:r>
      <w:r>
        <w:rPr>
          <w:rFonts w:cs="Arial"/>
          <w:b/>
          <w:bCs/>
          <w:sz w:val="24"/>
          <w:szCs w:val="24"/>
        </w:rPr>
        <w:t>ação específica</w:t>
      </w:r>
      <w:r>
        <w:rPr>
          <w:rFonts w:cs="Arial"/>
          <w:sz w:val="24"/>
          <w:szCs w:val="24"/>
        </w:rPr>
        <w:t xml:space="preserve"> com os valores que constam no </w:t>
      </w:r>
      <w:r>
        <w:rPr>
          <w:rFonts w:cs="Arial"/>
          <w:b/>
          <w:bCs/>
          <w:sz w:val="24"/>
          <w:szCs w:val="24"/>
        </w:rPr>
        <w:t>Anexo XI.</w:t>
      </w:r>
    </w:p>
    <w:p>
      <w:pPr>
        <w:pStyle w:val="Normal"/>
        <w:spacing w:lineRule="auto" w:line="360" w:before="0" w:after="0"/>
        <w:ind w:firstLine="851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Para a Reprogramação 2021, os recursos destinados à operacionalização, à gestão dos sistemas e serviços abrangidos pelo </w:t>
      </w:r>
      <w:r>
        <w:rPr>
          <w:rFonts w:cs="Arial"/>
          <w:b/>
          <w:bCs/>
          <w:sz w:val="24"/>
          <w:szCs w:val="24"/>
        </w:rPr>
        <w:t>Centro de Serviços Compartilhados</w:t>
      </w:r>
      <w:r>
        <w:rPr>
          <w:rFonts w:cs="Arial"/>
          <w:bCs/>
          <w:sz w:val="24"/>
          <w:szCs w:val="24"/>
        </w:rPr>
        <w:t xml:space="preserve">, </w:t>
      </w:r>
      <w:r>
        <w:rPr>
          <w:rFonts w:cs="Arial"/>
          <w:b/>
          <w:bCs/>
          <w:sz w:val="24"/>
          <w:szCs w:val="24"/>
        </w:rPr>
        <w:t>totalizam R$ 16,47 milhões, representando um acréscimo de 18,1% da Programação inicial (R$13,95 milhões)</w:t>
      </w:r>
      <w:r>
        <w:rPr>
          <w:rFonts w:cs="Arial"/>
          <w:bCs/>
          <w:sz w:val="24"/>
          <w:szCs w:val="24"/>
        </w:rPr>
        <w:t xml:space="preserve">, sendo parte em </w:t>
      </w:r>
      <w:r>
        <w:rPr>
          <w:rFonts w:cs="Arial"/>
          <w:b/>
          <w:bCs/>
          <w:sz w:val="24"/>
          <w:szCs w:val="24"/>
        </w:rPr>
        <w:t>Serviços Essenciais e Serviços por adesão.</w:t>
      </w:r>
    </w:p>
    <w:p>
      <w:pPr>
        <w:pStyle w:val="Normal"/>
        <w:spacing w:lineRule="auto" w:line="360" w:before="0" w:after="0"/>
        <w:ind w:firstLine="851"/>
        <w:jc w:val="both"/>
        <w:rPr>
          <w:rFonts w:cs="Arial"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Os recursos abrangidos pelo </w:t>
      </w:r>
      <w:r>
        <w:rPr>
          <w:rFonts w:cs="Arial"/>
          <w:b/>
          <w:bCs/>
          <w:sz w:val="24"/>
          <w:szCs w:val="24"/>
        </w:rPr>
        <w:t>Centro de Serviços Compartilhados – Serviços Essenciais</w:t>
      </w:r>
      <w:r>
        <w:rPr>
          <w:rFonts w:cs="Arial"/>
          <w:bCs/>
          <w:sz w:val="24"/>
          <w:szCs w:val="24"/>
        </w:rPr>
        <w:t xml:space="preserve">, </w:t>
      </w:r>
      <w:r>
        <w:rPr>
          <w:rFonts w:cs="Arial"/>
          <w:b/>
          <w:bCs/>
          <w:sz w:val="24"/>
          <w:szCs w:val="24"/>
        </w:rPr>
        <w:t>totalizam R$ 16,23 milhões</w:t>
      </w:r>
      <w:r>
        <w:rPr>
          <w:rFonts w:cs="Arial"/>
          <w:bCs/>
          <w:sz w:val="24"/>
          <w:szCs w:val="24"/>
        </w:rPr>
        <w:t>, os quais serão custeados por aportes a serem efetuados pelos CAU/UF e CAU/BR</w:t>
      </w:r>
      <w:r>
        <w:rPr>
          <w:rFonts w:cs="Arial"/>
          <w:sz w:val="24"/>
          <w:szCs w:val="24"/>
        </w:rPr>
        <w:t>,</w:t>
      </w:r>
      <w:r>
        <w:rPr>
          <w:rFonts w:cs="Arial"/>
          <w:b/>
          <w:bCs/>
          <w:sz w:val="24"/>
          <w:szCs w:val="24"/>
        </w:rPr>
        <w:t xml:space="preserve"> no valor de R$ 13,48 milhões</w:t>
      </w:r>
      <w:r>
        <w:rPr>
          <w:rFonts w:cs="Arial"/>
          <w:sz w:val="24"/>
          <w:szCs w:val="24"/>
        </w:rPr>
        <w:t>,  pela utilização de saldo de recursos existentes no CSC,</w:t>
      </w:r>
      <w:r>
        <w:rPr>
          <w:rFonts w:cs="Arial"/>
          <w:b/>
          <w:bCs/>
          <w:sz w:val="24"/>
          <w:szCs w:val="24"/>
        </w:rPr>
        <w:t xml:space="preserve"> no valor de R$ 1,03 milhão</w:t>
      </w:r>
      <w:r>
        <w:rPr>
          <w:rFonts w:cs="Arial"/>
          <w:sz w:val="24"/>
          <w:szCs w:val="24"/>
        </w:rPr>
        <w:t>,</w:t>
      </w:r>
      <w:r>
        <w:rPr>
          <w:rFonts w:cs="Arial"/>
          <w:b/>
          <w:bCs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e pelo valor adicional custeado pelo CAU/BR,</w:t>
      </w:r>
      <w:r>
        <w:rPr>
          <w:rFonts w:cs="Arial"/>
          <w:b/>
          <w:bCs/>
          <w:sz w:val="24"/>
          <w:szCs w:val="24"/>
        </w:rPr>
        <w:t xml:space="preserve"> no valor de R$ 1,65 milhão. </w:t>
      </w:r>
      <w:r>
        <w:rPr>
          <w:rFonts w:cs="Arial"/>
          <w:sz w:val="24"/>
          <w:szCs w:val="24"/>
        </w:rPr>
        <w:t xml:space="preserve">A composição e detalhamentos constam do Anexo XI. </w:t>
      </w:r>
    </w:p>
    <w:p>
      <w:pPr>
        <w:pStyle w:val="Normal"/>
        <w:spacing w:lineRule="auto" w:line="360" w:before="0" w:after="0"/>
        <w:ind w:firstLine="851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No tocante ao 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CSC - serviços por adesão, </w:t>
      </w:r>
      <w:r>
        <w:rPr>
          <w:rFonts w:cs="Arial"/>
          <w:bCs/>
          <w:color w:val="000000" w:themeColor="text1"/>
          <w:sz w:val="24"/>
          <w:szCs w:val="24"/>
        </w:rPr>
        <w:t>modalidade instituída na forma da Resolução 126, de 15/12/2016</w:t>
      </w:r>
      <w:r>
        <w:rPr>
          <w:rFonts w:cs="Arial"/>
          <w:b/>
          <w:bCs/>
          <w:color w:val="000000" w:themeColor="text1"/>
          <w:sz w:val="24"/>
          <w:szCs w:val="24"/>
        </w:rPr>
        <w:t>, o montante previsto é de</w:t>
      </w:r>
      <w:r>
        <w:rPr>
          <w:rFonts w:cs="Arial"/>
          <w:bCs/>
          <w:color w:val="000000" w:themeColor="text1"/>
          <w:sz w:val="24"/>
          <w:szCs w:val="24"/>
        </w:rPr>
        <w:t xml:space="preserve"> </w:t>
      </w:r>
      <w:r>
        <w:rPr>
          <w:rFonts w:cs="Arial"/>
          <w:b/>
          <w:bCs/>
          <w:color w:val="000000" w:themeColor="text1"/>
          <w:sz w:val="24"/>
          <w:szCs w:val="24"/>
        </w:rPr>
        <w:t>R</w:t>
      </w:r>
      <w:r>
        <w:rPr>
          <w:rFonts w:cs="Arial"/>
          <w:b/>
          <w:bCs/>
          <w:sz w:val="24"/>
          <w:szCs w:val="24"/>
        </w:rPr>
        <w:t>$ 245,1 mil  correspondente ao SISCAF.</w:t>
      </w:r>
      <w:r>
        <w:rPr>
          <w:rFonts w:cs="Arial"/>
          <w:bCs/>
          <w:sz w:val="24"/>
          <w:szCs w:val="24"/>
        </w:rPr>
        <w:t xml:space="preserve"> O detalhamento dos serviços envolvidos e os valores constam do Anexo XII. </w:t>
      </w:r>
    </w:p>
    <w:p>
      <w:pPr>
        <w:pStyle w:val="Normal"/>
        <w:spacing w:lineRule="auto" w:line="360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>Conforme a Resolução nº 126/2016, o</w:t>
      </w:r>
      <w:r>
        <w:rPr>
          <w:rFonts w:cs="Arial"/>
          <w:b/>
          <w:color w:val="000000" w:themeColor="text1"/>
          <w:sz w:val="24"/>
          <w:szCs w:val="24"/>
        </w:rPr>
        <w:t xml:space="preserve"> Centro de</w:t>
      </w:r>
      <w:r>
        <w:rPr>
          <w:rFonts w:cs="Arial"/>
          <w:bCs/>
          <w:color w:val="000000" w:themeColor="text1"/>
          <w:sz w:val="24"/>
          <w:szCs w:val="24"/>
        </w:rPr>
        <w:t xml:space="preserve"> 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Serviços Compartilhados </w:t>
      </w:r>
      <w:r>
        <w:rPr>
          <w:rFonts w:cs="Arial"/>
          <w:bCs/>
          <w:color w:val="000000" w:themeColor="text1"/>
          <w:sz w:val="24"/>
          <w:szCs w:val="24"/>
        </w:rPr>
        <w:t>dos Conselhos de Arquitetura e Urbanismo (CSC-CAU) tem como objetivo aglutinar e gerenciar serviços, tais como:</w:t>
      </w:r>
    </w:p>
    <w:p>
      <w:pPr>
        <w:pStyle w:val="ListParagraph"/>
        <w:numPr>
          <w:ilvl w:val="0"/>
          <w:numId w:val="34"/>
        </w:numPr>
        <w:spacing w:lineRule="auto" w:line="360"/>
        <w:jc w:val="both"/>
        <w:rPr>
          <w:rFonts w:cs="Arial"/>
          <w:b/>
          <w:b/>
          <w:bCs/>
          <w:color w:val="000000" w:themeColor="text1"/>
          <w:sz w:val="24"/>
          <w:szCs w:val="24"/>
        </w:rPr>
      </w:pPr>
      <w:r>
        <w:rPr>
          <w:rFonts w:cs="Arial"/>
          <w:b/>
          <w:bCs/>
          <w:color w:val="000000" w:themeColor="text1"/>
          <w:sz w:val="24"/>
          <w:szCs w:val="24"/>
        </w:rPr>
        <w:t>Os Serviços Compartilhados Essenciais, compreendem:</w:t>
      </w:r>
    </w:p>
    <w:p>
      <w:pPr>
        <w:pStyle w:val="ListParagraph"/>
        <w:numPr>
          <w:ilvl w:val="0"/>
          <w:numId w:val="28"/>
        </w:numPr>
        <w:spacing w:lineRule="auto" w:line="360"/>
        <w:jc w:val="both"/>
        <w:rPr>
          <w:rFonts w:cs="Arial"/>
          <w:b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t xml:space="preserve">Sistema de Informação e Comunicação dos Conselhos de Arquitetura e Urbanismo (SICCAU) nos módulos: </w:t>
      </w:r>
    </w:p>
    <w:p>
      <w:pPr>
        <w:pStyle w:val="ListParagraph"/>
        <w:numPr>
          <w:ilvl w:val="0"/>
          <w:numId w:val="29"/>
        </w:numPr>
        <w:spacing w:lineRule="auto" w:line="360"/>
        <w:ind w:left="1985" w:hanging="284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Corporativo e Ambiente Profissional; </w:t>
      </w:r>
    </w:p>
    <w:p>
      <w:pPr>
        <w:pStyle w:val="ListParagraph"/>
        <w:numPr>
          <w:ilvl w:val="0"/>
          <w:numId w:val="29"/>
        </w:numPr>
        <w:spacing w:lineRule="auto" w:line="360"/>
        <w:ind w:left="1985" w:hanging="284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Sistema de Informação Geográfica; </w:t>
      </w:r>
    </w:p>
    <w:p>
      <w:pPr>
        <w:pStyle w:val="ListParagraph"/>
        <w:numPr>
          <w:ilvl w:val="0"/>
          <w:numId w:val="29"/>
        </w:numPr>
        <w:spacing w:lineRule="auto" w:line="360"/>
        <w:ind w:left="1985" w:hanging="284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>Gerencial: SISCONT (Orçamentário, Despesas e Contábil), Centro de Custos, SISPAT (Patrimônio), SISPAD (Viagens, Passagens e Diárias), SIALM (Almoxarifado), SICCL (Compras, Contratos e Licitações), Gestão TCU (Geração de Relatório de Gestão ao TCU), Portal da Transparência (Gestão do Portal da Transparência) e Prestação de Contas (Gestão de Prestações de Contas do CAU/BR e dos CAU/UF);</w:t>
      </w:r>
    </w:p>
    <w:p>
      <w:pPr>
        <w:pStyle w:val="ListParagraph"/>
        <w:numPr>
          <w:ilvl w:val="0"/>
          <w:numId w:val="28"/>
        </w:numPr>
        <w:spacing w:lineRule="auto" w:line="360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t>Sistema de Gestão Integrada, que compreende a previsão ou possibilidade de implantação dos módulos</w:t>
      </w:r>
      <w:r>
        <w:rPr>
          <w:rFonts w:cs="Arial"/>
          <w:bCs/>
          <w:color w:val="000000" w:themeColor="text1"/>
          <w:sz w:val="24"/>
          <w:szCs w:val="24"/>
        </w:rPr>
        <w:t>:</w:t>
      </w:r>
    </w:p>
    <w:p>
      <w:pPr>
        <w:pStyle w:val="ListParagraph"/>
        <w:spacing w:lineRule="auto" w:line="360"/>
        <w:ind w:left="1571" w:hanging="0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>a) BPM – Business Process Management (Gestão de Processos de Negócio);</w:t>
      </w:r>
    </w:p>
    <w:p>
      <w:pPr>
        <w:pStyle w:val="ListParagraph"/>
        <w:spacing w:lineRule="auto" w:line="360"/>
        <w:ind w:left="1571" w:hanging="0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>b) ECM – Enterprise Content Management (Gestão de Conteúdo Corporativo);</w:t>
      </w:r>
    </w:p>
    <w:p>
      <w:pPr>
        <w:pStyle w:val="ListParagraph"/>
        <w:spacing w:lineRule="auto" w:line="360"/>
        <w:ind w:left="1571" w:hanging="0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>c) Social Network (Ambiente de Comunicação/Colaboração Corporativa);</w:t>
      </w:r>
    </w:p>
    <w:p>
      <w:pPr>
        <w:pStyle w:val="ListParagraph"/>
        <w:spacing w:lineRule="auto" w:line="360"/>
        <w:ind w:left="1571" w:hanging="0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>d) Business Inteligence (Análise de dados estruturados para suporte à gestão);</w:t>
      </w:r>
    </w:p>
    <w:p>
      <w:pPr>
        <w:pStyle w:val="ListParagraph"/>
        <w:spacing w:lineRule="auto" w:line="360"/>
        <w:ind w:left="1571" w:hanging="0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>e) HCM (Gestão de Pessoas e Competências);</w:t>
      </w:r>
    </w:p>
    <w:p>
      <w:pPr>
        <w:pStyle w:val="ListParagraph"/>
        <w:spacing w:lineRule="auto" w:line="360"/>
        <w:ind w:left="1571" w:hanging="0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>f) CRM (Gestão de Relacionamento com Clientes e Parceiros);</w:t>
      </w:r>
    </w:p>
    <w:p>
      <w:pPr>
        <w:pStyle w:val="ListParagraph"/>
        <w:spacing w:lineRule="auto" w:line="360"/>
        <w:ind w:left="1571" w:hanging="0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>g) ERM (Gestão de Riscos Corporativos);</w:t>
      </w:r>
    </w:p>
    <w:p>
      <w:pPr>
        <w:pStyle w:val="ListParagraph"/>
        <w:spacing w:lineRule="auto" w:line="360"/>
        <w:ind w:left="1571" w:hanging="0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>h) Gestão Estratégica e de Indicadores; e</w:t>
      </w:r>
    </w:p>
    <w:p>
      <w:pPr>
        <w:pStyle w:val="ListParagraph"/>
        <w:spacing w:lineRule="auto" w:line="360"/>
        <w:ind w:left="1571" w:hanging="0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>i) Gestão do Conhecimento;</w:t>
      </w:r>
    </w:p>
    <w:p>
      <w:pPr>
        <w:pStyle w:val="ListParagraph"/>
        <w:numPr>
          <w:ilvl w:val="0"/>
          <w:numId w:val="28"/>
        </w:numPr>
        <w:spacing w:lineRule="auto" w:line="360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t>Serviços de treinamento e capacitação</w:t>
      </w:r>
      <w:r>
        <w:rPr>
          <w:rFonts w:cs="Arial"/>
          <w:bCs/>
          <w:color w:val="000000" w:themeColor="text1"/>
          <w:sz w:val="24"/>
          <w:szCs w:val="24"/>
        </w:rPr>
        <w:t xml:space="preserve"> nas competências incorporadas no escopo do Modelo de Referência em Gestão do CAU (MRG-CAU) e apoio institucional ao CAU/BR e aos CAU/UF para assessoria técnica nas metodologias de gestão concebidas e utilizadas no âmbito do MRG-CAU;</w:t>
      </w:r>
    </w:p>
    <w:p>
      <w:pPr>
        <w:pStyle w:val="ListParagraph"/>
        <w:numPr>
          <w:ilvl w:val="0"/>
          <w:numId w:val="28"/>
        </w:numPr>
        <w:spacing w:lineRule="auto" w:line="360"/>
        <w:jc w:val="both"/>
        <w:rPr>
          <w:rFonts w:cs="Arial"/>
          <w:b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t>Serviço de Data Center;</w:t>
      </w:r>
    </w:p>
    <w:p>
      <w:pPr>
        <w:pStyle w:val="ListParagraph"/>
        <w:numPr>
          <w:ilvl w:val="0"/>
          <w:numId w:val="28"/>
        </w:numPr>
        <w:spacing w:lineRule="auto" w:line="360"/>
        <w:jc w:val="both"/>
        <w:rPr>
          <w:rFonts w:cs="Arial"/>
          <w:bCs/>
          <w:sz w:val="24"/>
          <w:szCs w:val="24"/>
        </w:rPr>
      </w:pPr>
      <w:r>
        <w:rPr>
          <w:b/>
          <w:bCs/>
          <w:sz w:val="24"/>
          <w:szCs w:val="24"/>
        </w:rPr>
        <w:t>Rede Integrada de Atendimento (RIA)</w:t>
      </w:r>
      <w:r>
        <w:rPr>
          <w:sz w:val="24"/>
          <w:szCs w:val="24"/>
        </w:rPr>
        <w:t xml:space="preserve">, compreendendo: </w:t>
      </w:r>
    </w:p>
    <w:p>
      <w:pPr>
        <w:pStyle w:val="ListParagraph"/>
        <w:numPr>
          <w:ilvl w:val="1"/>
          <w:numId w:val="28"/>
        </w:numPr>
        <w:spacing w:lineRule="auto" w:line="360"/>
        <w:jc w:val="both"/>
        <w:rPr>
          <w:rFonts w:cs="Arial"/>
          <w:bCs/>
          <w:sz w:val="24"/>
          <w:szCs w:val="24"/>
        </w:rPr>
      </w:pPr>
      <w:r>
        <w:rPr>
          <w:sz w:val="24"/>
          <w:szCs w:val="24"/>
        </w:rPr>
        <w:t xml:space="preserve">Serviço de Tele Atendimento Qualificado (TAQ); </w:t>
      </w:r>
    </w:p>
    <w:p>
      <w:pPr>
        <w:pStyle w:val="ListParagraph"/>
        <w:numPr>
          <w:ilvl w:val="1"/>
          <w:numId w:val="28"/>
        </w:numPr>
        <w:spacing w:lineRule="auto" w:line="360"/>
        <w:jc w:val="both"/>
        <w:rPr>
          <w:rFonts w:cs="Arial"/>
          <w:bCs/>
          <w:sz w:val="24"/>
          <w:szCs w:val="24"/>
        </w:rPr>
      </w:pPr>
      <w:r>
        <w:rPr>
          <w:sz w:val="24"/>
          <w:szCs w:val="24"/>
        </w:rPr>
        <w:t xml:space="preserve">Serviço Telefônico de Tele Atendimento 0800 e 4007; </w:t>
      </w:r>
    </w:p>
    <w:p>
      <w:pPr>
        <w:pStyle w:val="ListParagraph"/>
        <w:numPr>
          <w:ilvl w:val="1"/>
          <w:numId w:val="28"/>
        </w:numPr>
        <w:spacing w:lineRule="auto" w:line="360"/>
        <w:jc w:val="both"/>
        <w:rPr>
          <w:rFonts w:cs="Arial"/>
          <w:bCs/>
          <w:sz w:val="24"/>
          <w:szCs w:val="24"/>
        </w:rPr>
      </w:pPr>
      <w:r>
        <w:rPr>
          <w:sz w:val="24"/>
          <w:szCs w:val="24"/>
        </w:rPr>
        <w:t xml:space="preserve">Rede Social Corporativa dos Arquitetos e Urbanistas; e </w:t>
      </w:r>
    </w:p>
    <w:p>
      <w:pPr>
        <w:pStyle w:val="ListParagraph"/>
        <w:numPr>
          <w:ilvl w:val="1"/>
          <w:numId w:val="28"/>
        </w:numPr>
        <w:spacing w:lineRule="auto" w:line="360"/>
        <w:jc w:val="both"/>
        <w:rPr>
          <w:rFonts w:cs="Arial"/>
          <w:bCs/>
          <w:sz w:val="24"/>
          <w:szCs w:val="24"/>
        </w:rPr>
      </w:pPr>
      <w:r>
        <w:rPr>
          <w:sz w:val="24"/>
          <w:szCs w:val="24"/>
        </w:rPr>
        <w:t>Atendente Virtual;</w:t>
      </w:r>
    </w:p>
    <w:p>
      <w:pPr>
        <w:pStyle w:val="ListParagraph"/>
        <w:numPr>
          <w:ilvl w:val="0"/>
          <w:numId w:val="28"/>
        </w:numPr>
        <w:spacing w:lineRule="auto" w:line="360"/>
        <w:jc w:val="both"/>
        <w:rPr>
          <w:rFonts w:cs="Arial"/>
          <w:bCs/>
          <w:sz w:val="24"/>
          <w:szCs w:val="24"/>
        </w:rPr>
      </w:pPr>
      <w:r>
        <w:rPr>
          <w:rFonts w:cs="Arial"/>
          <w:b/>
          <w:sz w:val="24"/>
          <w:szCs w:val="24"/>
        </w:rPr>
        <w:t>Serviço de conferência</w:t>
      </w:r>
      <w:r>
        <w:rPr>
          <w:rFonts w:cs="Arial"/>
          <w:bCs/>
          <w:sz w:val="24"/>
          <w:szCs w:val="24"/>
        </w:rPr>
        <w:t xml:space="preserve"> via WEB;</w:t>
      </w:r>
    </w:p>
    <w:p>
      <w:pPr>
        <w:pStyle w:val="ListParagraph"/>
        <w:numPr>
          <w:ilvl w:val="0"/>
          <w:numId w:val="28"/>
        </w:numPr>
        <w:spacing w:lineRule="auto" w:line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Serviços a serem prestados pelo pessoal alocado pelo CAU/BR</w:t>
      </w:r>
      <w:r>
        <w:rPr>
          <w:sz w:val="24"/>
          <w:szCs w:val="24"/>
        </w:rPr>
        <w:t xml:space="preserve"> na gestão e execução dos serviços relacionados nos incisos I, I-A, II e III deste parágrafo, compreendendo salários e respectivos encargos trabalhistas e previdenciários;</w:t>
      </w:r>
    </w:p>
    <w:p>
      <w:pPr>
        <w:pStyle w:val="ListParagraph"/>
        <w:numPr>
          <w:ilvl w:val="0"/>
          <w:numId w:val="28"/>
        </w:numPr>
        <w:spacing w:lineRule="auto" w:line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Funcionamento do Colegiado de Governança</w:t>
      </w:r>
      <w:r>
        <w:rPr>
          <w:sz w:val="24"/>
          <w:szCs w:val="24"/>
        </w:rPr>
        <w:t xml:space="preserve"> do Centro de Serviços Compartilhados (CG-CSC), compreendendo as despesas para tal fim. </w:t>
      </w:r>
    </w:p>
    <w:p>
      <w:pPr>
        <w:pStyle w:val="ListParagraph"/>
        <w:spacing w:lineRule="auto" w:line="360"/>
        <w:ind w:left="1211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27"/>
        </w:numPr>
        <w:spacing w:lineRule="auto" w:line="360"/>
        <w:jc w:val="both"/>
        <w:rPr>
          <w:rFonts w:cs="Arial"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Os Serviços Compartilhados por Adesão</w:t>
      </w:r>
      <w:r>
        <w:rPr>
          <w:rFonts w:cs="Arial"/>
          <w:bCs/>
          <w:sz w:val="24"/>
          <w:szCs w:val="24"/>
        </w:rPr>
        <w:t>, serão objeto de compartilhamento por adesão os serviços relacionados ao Sistema de Controle e Cobrança (SISCAF), com a previsão ou possibilidade de implantação dos módulos Processo, Protocolo e Dívida Ativa, compreendendo:</w:t>
      </w:r>
    </w:p>
    <w:p>
      <w:pPr>
        <w:pStyle w:val="Normal"/>
        <w:spacing w:lineRule="auto" w:line="360"/>
        <w:ind w:left="851" w:hanging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a) Aquisição de licença de uso;</w:t>
      </w:r>
    </w:p>
    <w:p>
      <w:pPr>
        <w:pStyle w:val="Normal"/>
        <w:spacing w:lineRule="auto" w:line="360"/>
        <w:ind w:left="851" w:hanging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b) Manutenção de licença de uso;</w:t>
      </w:r>
    </w:p>
    <w:p>
      <w:pPr>
        <w:pStyle w:val="Normal"/>
        <w:spacing w:lineRule="auto" w:line="360"/>
        <w:ind w:left="851" w:hanging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c) Serviços de desenvolvimento e evolução; e</w:t>
      </w:r>
    </w:p>
    <w:p>
      <w:pPr>
        <w:pStyle w:val="Normal"/>
        <w:spacing w:lineRule="auto" w:line="360"/>
        <w:ind w:left="851" w:hanging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d) Capacitação e apoio técnico para implantação e uso do SISCAF pelos CAU/UF.</w:t>
      </w:r>
    </w:p>
    <w:p>
      <w:pPr>
        <w:pStyle w:val="ListParagraph"/>
        <w:spacing w:lineRule="auto" w:line="360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>Como estabelecido na Resolução nº 126, o CAU/UF deverá fazer aporte de recursos mensais,</w:t>
      </w:r>
      <w:r>
        <w:rPr>
          <w:color w:val="000000" w:themeColor="text1"/>
          <w:sz w:val="24"/>
          <w:szCs w:val="24"/>
        </w:rPr>
        <w:t xml:space="preserve"> correspondente aos valores destinados à operação dos </w:t>
      </w:r>
      <w:r>
        <w:rPr>
          <w:b/>
          <w:color w:val="000000" w:themeColor="text1"/>
          <w:sz w:val="24"/>
          <w:szCs w:val="24"/>
        </w:rPr>
        <w:t>serviços essenciais</w:t>
      </w:r>
      <w:r>
        <w:rPr>
          <w:color w:val="000000" w:themeColor="text1"/>
          <w:sz w:val="24"/>
          <w:szCs w:val="24"/>
        </w:rPr>
        <w:t xml:space="preserve"> a serem compartilhados pelo Centro de Serviços Compartilhados</w:t>
      </w:r>
      <w:r>
        <w:rPr>
          <w:rFonts w:cs="Arial"/>
          <w:bCs/>
          <w:color w:val="000000" w:themeColor="text1"/>
          <w:sz w:val="24"/>
          <w:szCs w:val="24"/>
        </w:rPr>
        <w:t xml:space="preserve">, mediante pagamento de boletos bancários </w:t>
      </w:r>
      <w:r>
        <w:rPr>
          <w:color w:val="000000" w:themeColor="text1"/>
          <w:sz w:val="24"/>
          <w:szCs w:val="24"/>
        </w:rPr>
        <w:t xml:space="preserve">a serem emitidos pelo CAU/BR. </w:t>
      </w:r>
    </w:p>
    <w:p>
      <w:pPr>
        <w:pStyle w:val="ListParagraph"/>
        <w:spacing w:lineRule="auto" w:line="360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Para as despesas com os </w:t>
      </w:r>
      <w:r>
        <w:rPr>
          <w:b/>
          <w:color w:val="000000" w:themeColor="text1"/>
          <w:sz w:val="24"/>
          <w:szCs w:val="24"/>
        </w:rPr>
        <w:t>serviços por adesão</w:t>
      </w:r>
      <w:r>
        <w:rPr>
          <w:color w:val="000000" w:themeColor="text1"/>
          <w:sz w:val="24"/>
          <w:szCs w:val="24"/>
        </w:rPr>
        <w:t xml:space="preserve"> serão emitidos boletos bancários próprios com parcelas mensais, específicos aos Entes Institucionais do Compartilhamento que aderirem aos serviços, em valores correspondentes a 1/12 (um doze avos) do total discriminado no orçamento anual dos serviços previstos aos serviços compartilhados por adesão, a serem compartilhados pelo CSC. </w:t>
      </w:r>
    </w:p>
    <w:p>
      <w:pPr>
        <w:pStyle w:val="ListParagraph"/>
        <w:spacing w:lineRule="auto" w:line="360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 quitação dos boletos bancários deverá ser realizada pelos Entes Institucionais do CSC, por meio de agendamento eletrônico, com a instituição financeira. A não quitação de parcela duodecimal, na data prevista, determinará a atualização do débito pela Taxa Referencial do Sistema Especial de Liquidação e de Custódia (SELIC) correspondente ao período do atraso.</w:t>
      </w:r>
    </w:p>
    <w:p>
      <w:pPr>
        <w:pStyle w:val="ListParagraph"/>
        <w:spacing w:lineRule="auto" w:line="360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</w:p>
    <w:p>
      <w:pPr>
        <w:pStyle w:val="Ttulo3"/>
        <w:numPr>
          <w:ilvl w:val="2"/>
          <w:numId w:val="35"/>
        </w:numPr>
        <w:ind w:left="540" w:right="253" w:hanging="540"/>
        <w:rPr/>
      </w:pPr>
      <w:bookmarkStart w:id="372" w:name="_Toc78546301"/>
      <w:r>
        <w:rPr/>
        <w:t>Recursos para “encontro de contas do CSC referente ao TAQ e 0800/4007 – exercício de 2020”</w:t>
      </w:r>
      <w:bookmarkEnd w:id="372"/>
      <w:r>
        <w:rPr/>
        <w:t xml:space="preserve"> </w:t>
      </w:r>
    </w:p>
    <w:p>
      <w:pPr>
        <w:pStyle w:val="Normal"/>
        <w:spacing w:lineRule="auto" w:line="360"/>
        <w:ind w:firstLine="708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No tocante aos serviços abrangidos pelo Centro de Serviços Compartilhados, os inerentes à Rede Integrada de Atendimento (RIA) – Serviço de Teleatendimento Qualificado (TAQ); Serviço Telefônico de Teleatendimento 0800 e 4007; Rede Social Corporativa dos Arquitetos e Urbanistas; e Atendente Virtual, apenas o </w:t>
      </w:r>
      <w:r>
        <w:rPr>
          <w:rFonts w:eastAsia="Arial Unicode MS" w:cs="Calibri"/>
          <w:b/>
          <w:bCs/>
          <w:sz w:val="24"/>
          <w:szCs w:val="24"/>
        </w:rPr>
        <w:t>Serviço Telefônico (0800 e 4007)</w:t>
      </w:r>
      <w:r>
        <w:rPr>
          <w:rFonts w:eastAsia="Arial Unicode MS" w:cs="Calibri"/>
          <w:sz w:val="24"/>
          <w:szCs w:val="24"/>
        </w:rPr>
        <w:t xml:space="preserve">, é de custeio integral pelos CAU/UF, na forma da Resolução nº 126, alterada pela Resolução nº 183, no art. 10º, § 1º, Inciso II, Item b, como segue: </w:t>
      </w:r>
    </w:p>
    <w:p>
      <w:pPr>
        <w:pStyle w:val="Normal"/>
        <w:spacing w:lineRule="auto" w:line="360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r>
        <w:rPr>
          <w:sz w:val="24"/>
          <w:szCs w:val="24"/>
        </w:rPr>
        <w:t>b) o custeio das despesas com os serviços referidos no art. 2°, § 1°, inciso III, alíneas “a” e “b” desta Resolução, em valores correspondentes e proporcionais ao uso efetivo de cada CAU/UF, sendo que o encontro de contas será feito no primeiro mês do exercício subsequente”.</w:t>
      </w:r>
    </w:p>
    <w:p>
      <w:pPr>
        <w:pStyle w:val="Normal"/>
        <w:spacing w:lineRule="auto" w:line="360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Nesse contexto, considerando que a previsão de aplicações em 2020  era de R$ 94,00 mil e a efetivação ao final do exercício de 2020 ocorreu em R$ 25,27 mil,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conforme prestações de contas apreciadas pelo Colegiado do CSC, o acerto de contas, decorrente da efetiva utilização pelos CAU/UF e os respectivos valores a receber ou a pagar, por CAU/UF, se apresentam nos </w:t>
      </w:r>
      <w:r>
        <w:fldChar w:fldCharType="begin"/>
      </w:r>
      <w:r>
        <w:rPr/>
        <w:instrText> HYPERLINK "file:///C:/Users/tania.daldegan/Documents/Reprograma%C3%A7%C3%A3o%202020/Diretrizes%20para%20a%20Reprograma%C3%A7%C3%A3o%202020-%20f1.T1.docx" \l "_Anexo_XII_-"</w:instrText>
      </w:r>
      <w:r>
        <w:rPr/>
        <w:fldChar w:fldCharType="separate"/>
      </w:r>
      <w:r>
        <w:rPr/>
        <w:t>Anexos XI.II.</w:t>
      </w:r>
      <w:r>
        <w:rPr/>
        <w:fldChar w:fldCharType="end"/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sz w:val="24"/>
          <w:szCs w:val="24"/>
        </w:rPr>
        <w:t xml:space="preserve">Focando o “acerto de contas”, todos os CAU/UF (inclusive os CAU Básicos) terão valores a receber </w:t>
      </w:r>
      <w:r>
        <w:rPr>
          <w:rFonts w:eastAsia="Arial Unicode MS" w:cs="Calibri"/>
          <w:sz w:val="24"/>
          <w:szCs w:val="24"/>
        </w:rPr>
        <w:t xml:space="preserve">deverão incorporar na </w:t>
      </w:r>
      <w:r>
        <w:rPr>
          <w:rFonts w:eastAsia="Arial Unicode MS" w:cs="Calibri"/>
          <w:b/>
          <w:sz w:val="24"/>
          <w:szCs w:val="24"/>
        </w:rPr>
        <w:t>fonte de recursos “outras receitas”</w:t>
      </w:r>
      <w:r>
        <w:rPr>
          <w:rFonts w:eastAsia="Arial Unicode MS" w:cs="Calibri"/>
          <w:sz w:val="24"/>
          <w:szCs w:val="24"/>
        </w:rPr>
        <w:t>, especificando o respectivo valor e sua natureza, conforme o Anexo XI.II.</w:t>
      </w:r>
      <w:bookmarkStart w:id="373" w:name="_Toc45579777"/>
      <w:bookmarkStart w:id="374" w:name="_Toc45579507"/>
      <w:bookmarkStart w:id="375" w:name="_Toc45573338"/>
      <w:bookmarkStart w:id="376" w:name="_Toc45572873"/>
      <w:bookmarkStart w:id="377" w:name="_Toc45563868"/>
      <w:bookmarkStart w:id="378" w:name="_Toc517194145"/>
      <w:bookmarkStart w:id="379" w:name="_Toc518381396"/>
      <w:bookmarkStart w:id="380" w:name="_Toc12119521"/>
      <w:bookmarkStart w:id="381" w:name="_Toc12120536"/>
      <w:bookmarkStart w:id="382" w:name="_Toc12185180"/>
      <w:bookmarkStart w:id="383" w:name="_Toc12204966"/>
      <w:bookmarkStart w:id="384" w:name="_Toc12224854"/>
      <w:bookmarkStart w:id="385" w:name="_Toc12224996"/>
      <w:bookmarkStart w:id="386" w:name="_Toc12225201"/>
      <w:bookmarkStart w:id="387" w:name="_Toc45533898"/>
      <w:bookmarkStart w:id="388" w:name="_Toc485391711"/>
      <w:bookmarkStart w:id="389" w:name="_Toc485394121"/>
      <w:bookmarkStart w:id="390" w:name="_Toc485395033"/>
      <w:bookmarkStart w:id="391" w:name="_Toc485637472"/>
      <w:bookmarkStart w:id="392" w:name="_Toc485638381"/>
      <w:bookmarkStart w:id="393" w:name="_Toc516740805"/>
      <w:bookmarkStart w:id="394" w:name="_Toc517110703"/>
      <w:bookmarkStart w:id="395" w:name="_Toc517111675"/>
      <w:bookmarkStart w:id="396" w:name="_Toc517111954"/>
      <w:bookmarkStart w:id="397" w:name="_Toc517188811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</w:p>
    <w:p>
      <w:pPr>
        <w:pStyle w:val="Ttulo3"/>
        <w:rPr>
          <w:rFonts w:eastAsia="Arial Unicode MS"/>
        </w:rPr>
      </w:pPr>
      <w:r>
        <w:rPr>
          <w:rFonts w:eastAsia="Arial Unicode MS"/>
        </w:rPr>
      </w:r>
    </w:p>
    <w:p>
      <w:pPr>
        <w:pStyle w:val="Ttulo2"/>
        <w:rPr>
          <w:color w:val="006666"/>
          <w:sz w:val="24"/>
          <w:szCs w:val="24"/>
        </w:rPr>
      </w:pPr>
      <w:bookmarkStart w:id="398" w:name="_Toc78546302"/>
      <w:bookmarkStart w:id="399" w:name="_Toc45579779"/>
      <w:bookmarkStart w:id="400" w:name="_Toc45579509"/>
      <w:bookmarkStart w:id="401" w:name="_Toc45573340"/>
      <w:bookmarkStart w:id="402" w:name="_Toc45572875"/>
      <w:bookmarkStart w:id="403" w:name="_Toc45563870"/>
      <w:bookmarkStart w:id="404" w:name="_Toc517110705"/>
      <w:bookmarkStart w:id="405" w:name="_Toc517111677"/>
      <w:bookmarkStart w:id="406" w:name="_Toc517111956"/>
      <w:bookmarkStart w:id="407" w:name="_Toc517188813"/>
      <w:bookmarkStart w:id="408" w:name="_Toc517194147"/>
      <w:bookmarkStart w:id="409" w:name="_Toc518381398"/>
      <w:bookmarkStart w:id="410" w:name="_Toc12119523"/>
      <w:bookmarkStart w:id="411" w:name="_Toc12120538"/>
      <w:bookmarkStart w:id="412" w:name="_Toc12185182"/>
      <w:bookmarkStart w:id="413" w:name="_Toc12204968"/>
      <w:bookmarkStart w:id="414" w:name="_Toc12224856"/>
      <w:bookmarkStart w:id="415" w:name="_Toc12224998"/>
      <w:bookmarkStart w:id="416" w:name="_Toc12225203"/>
      <w:bookmarkStart w:id="417" w:name="_Toc45533900"/>
      <w:r>
        <w:rPr>
          <w:color w:val="006666"/>
          <w:sz w:val="24"/>
          <w:szCs w:val="24"/>
        </w:rPr>
        <w:t>2.4 Ressarcimento de Taxas Bancárias aos CAU/UF</w:t>
      </w:r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</w:p>
    <w:p>
      <w:pPr>
        <w:pStyle w:val="Normal"/>
        <w:spacing w:lineRule="auto" w:line="360"/>
        <w:ind w:firstLine="708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Considerando que o CAU/BR efetuará o ressarcimento aos CAU/UF, na proporção de 20%, o valor reprogramado é  R$ 2,82 mil, do total das taxas bancárias previstas para pagamento, pelos CAU/UF, inerentes aos boletos emitidos para pagamentos de anuidades, RRT e demais taxas que sejam pagas pelos profissionais e empresas, em favor do Conselho, durante o exercício de 2021, os CAU/UF deverão, nesta proposta de reprogramação, incorporar na </w:t>
      </w:r>
      <w:r>
        <w:rPr>
          <w:rFonts w:eastAsia="Arial Unicode MS" w:cs="Calibri"/>
          <w:b/>
          <w:sz w:val="24"/>
          <w:szCs w:val="24"/>
        </w:rPr>
        <w:t>fonte de recursos “outras receitas correntes”</w:t>
      </w:r>
      <w:r>
        <w:rPr>
          <w:rFonts w:eastAsia="Arial Unicode MS" w:cs="Calibri"/>
          <w:sz w:val="24"/>
          <w:szCs w:val="24"/>
        </w:rPr>
        <w:t>, especificando o respectivo valor e sua natureza, conforme detalhado, por CAU/UF, no Anexo XIII.</w:t>
      </w:r>
    </w:p>
    <w:p>
      <w:pPr>
        <w:pStyle w:val="Normal"/>
        <w:spacing w:lineRule="auto" w:line="360"/>
        <w:ind w:firstLine="708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O ressarcimento aos CAU/UF pelo CAU/BR é relativo aos valores das tarifas bancárias de liquidação, registro e baixa dos boletos de arrecadação vinculados aos convênios com registro, conforme Deliberação n. 037/2019 da Comissão de Planejamento e Finanças.</w:t>
      </w:r>
    </w:p>
    <w:p>
      <w:pPr>
        <w:pStyle w:val="Normal"/>
        <w:spacing w:lineRule="auto" w:line="360"/>
        <w:ind w:firstLine="708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 </w:t>
      </w:r>
    </w:p>
    <w:p>
      <w:pPr>
        <w:pStyle w:val="Ttulo2"/>
        <w:rPr>
          <w:color w:val="006666"/>
          <w:sz w:val="24"/>
          <w:szCs w:val="24"/>
        </w:rPr>
      </w:pPr>
      <w:bookmarkStart w:id="418" w:name="_Toc78546303"/>
      <w:bookmarkStart w:id="419" w:name="_Toc45579780"/>
      <w:bookmarkStart w:id="420" w:name="_Toc45579510"/>
      <w:bookmarkStart w:id="421" w:name="_Toc45573341"/>
      <w:bookmarkStart w:id="422" w:name="_Toc45572876"/>
      <w:bookmarkStart w:id="423" w:name="_Toc45563871"/>
      <w:bookmarkStart w:id="424" w:name="_Toc485637473"/>
      <w:bookmarkStart w:id="425" w:name="_Toc485638382"/>
      <w:bookmarkStart w:id="426" w:name="_Toc516740807"/>
      <w:bookmarkStart w:id="427" w:name="_Toc517110706"/>
      <w:bookmarkStart w:id="428" w:name="_Toc517111678"/>
      <w:bookmarkStart w:id="429" w:name="_Toc517111957"/>
      <w:bookmarkStart w:id="430" w:name="_Toc517188814"/>
      <w:bookmarkStart w:id="431" w:name="_Toc517194148"/>
      <w:bookmarkStart w:id="432" w:name="_Toc518381399"/>
      <w:bookmarkStart w:id="433" w:name="_Toc12119524"/>
      <w:bookmarkStart w:id="434" w:name="_Toc12120539"/>
      <w:bookmarkStart w:id="435" w:name="_Toc12185183"/>
      <w:bookmarkStart w:id="436" w:name="_Toc12204969"/>
      <w:bookmarkStart w:id="437" w:name="_Toc12224857"/>
      <w:bookmarkStart w:id="438" w:name="_Toc12224999"/>
      <w:bookmarkStart w:id="439" w:name="_Toc12225204"/>
      <w:bookmarkStart w:id="440" w:name="_Toc45533901"/>
      <w:bookmarkStart w:id="441" w:name="_Toc485395034"/>
      <w:bookmarkStart w:id="442" w:name="_Toc485394122"/>
      <w:bookmarkStart w:id="443" w:name="_Toc485391712"/>
      <w:bookmarkStart w:id="444" w:name="_Toc395610118"/>
      <w:r>
        <w:rPr>
          <w:color w:val="006666"/>
          <w:sz w:val="24"/>
          <w:szCs w:val="24"/>
        </w:rPr>
        <w:t>2.5 Destinação de Recursos para Reserva de Contingência</w:t>
      </w:r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</w:p>
    <w:p>
      <w:pPr>
        <w:pStyle w:val="Normal"/>
        <w:spacing w:lineRule="auto" w:line="360" w:before="0" w:after="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CAU/BR e os CAU/UF poderão criar uma atividade em seus Planos de Ação destinada a constituir “Reserva de Contingência” objetivando suportar eventuais ações de natureza estratégica e operacionais não contempladas no Plano de Ação aprovado. Para essa finalidade deverão ser direcionados </w:t>
      </w:r>
      <w:r>
        <w:rPr>
          <w:rFonts w:eastAsia="Arial Unicode MS" w:cs="Calibri"/>
          <w:b/>
          <w:sz w:val="24"/>
          <w:szCs w:val="24"/>
        </w:rPr>
        <w:t>até 2,0%</w:t>
      </w:r>
      <w:r>
        <w:rPr>
          <w:rFonts w:eastAsia="Arial Unicode MS" w:cs="Calibri"/>
          <w:sz w:val="24"/>
          <w:szCs w:val="24"/>
        </w:rPr>
        <w:t xml:space="preserve"> do total dos recursos oriundos das receitas de arrecadação do exercício (anuidades, RRT e taxas e multas) deduzidos os valores destinados ao Fundo de Apoio.</w:t>
      </w:r>
    </w:p>
    <w:p>
      <w:pPr>
        <w:pStyle w:val="Normal"/>
        <w:spacing w:lineRule="auto" w:line="360" w:before="0" w:after="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0" allowOverlap="1" relativeHeight="102" wp14:anchorId="6AA7C01C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5759450" cy="715010"/>
                <wp:effectExtent l="0" t="0" r="0" b="9525"/>
                <wp:wrapNone/>
                <wp:docPr id="21" name="Caixa de Texto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920" cy="714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hd w:val="clear" w:color="auto" w:fill="F4B083" w:themeFill="accent2" w:themeFillTint="99"/>
                              <w:spacing w:lineRule="auto" w:line="360" w:before="0" w:after="0"/>
                              <w:jc w:val="both"/>
                              <w:rPr>
                                <w:rFonts w:eastAsia="Arial Unicode MS" w:cs="Calibri"/>
                                <w:b/>
                                <w:b/>
                                <w:i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i/>
                                <w:color w:val="ED7D31"/>
                                <w:sz w:val="24"/>
                                <w:szCs w:val="24"/>
                              </w:rPr>
                              <w:t xml:space="preserve">Nota 6: </w:t>
                            </w:r>
                            <w:r>
                              <w:rPr>
                                <w:rFonts w:eastAsia="Arial Unicode MS" w:cs="Calibri"/>
                                <w:bCs/>
                                <w:i/>
                                <w:color w:val="ED7D31"/>
                                <w:sz w:val="24"/>
                                <w:szCs w:val="24"/>
                              </w:rPr>
                              <w:t xml:space="preserve">Na proposta de reprogramação do Plano de Ação, 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color w:val="ED7D31"/>
                                <w:sz w:val="24"/>
                                <w:szCs w:val="24"/>
                              </w:rPr>
                              <w:t xml:space="preserve">mediante justificativas próprias, flexibilizar a aplicação de recursos mínimos descritos no item 2.5. </w:t>
                            </w:r>
                          </w:p>
                          <w:p>
                            <w:pPr>
                              <w:pStyle w:val="Contedodoquadro"/>
                              <w:shd w:val="clear" w:color="auto" w:fill="F4B083" w:themeFill="accent2" w:themeFillTint="99"/>
                              <w:spacing w:lineRule="auto" w:line="360" w:before="0" w:after="160"/>
                              <w:jc w:val="both"/>
                              <w:rPr>
                                <w:b/>
                                <w:b/>
                                <w:i/>
                                <w:i/>
                              </w:rPr>
                            </w:pPr>
                            <w:r>
                              <w:rPr>
                                <w:color w:val="ED7D31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2" path="m0,0l-2147483645,0l-2147483645,-2147483646l0,-2147483646xe" stroked="f" style="position:absolute;margin-left:0pt;margin-top:14.35pt;width:453.4pt;height:56.2pt;mso-wrap-style:square;v-text-anchor:top;mso-position-horizontal:left;mso-position-horizontal-relative:margin" wp14:anchorId="6AA7C01C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hd w:val="clear" w:color="auto" w:fill="F4B083" w:themeFill="accent2" w:themeFillTint="99"/>
                        <w:spacing w:lineRule="auto" w:line="360" w:before="0" w:after="0"/>
                        <w:jc w:val="both"/>
                        <w:rPr>
                          <w:rFonts w:eastAsia="Arial Unicode MS" w:cs="Calibri"/>
                          <w:b/>
                          <w:b/>
                          <w:i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eastAsia="Arial Unicode MS" w:cs="Calibri"/>
                          <w:b/>
                          <w:i/>
                          <w:color w:val="ED7D31"/>
                          <w:sz w:val="24"/>
                          <w:szCs w:val="24"/>
                        </w:rPr>
                        <w:t xml:space="preserve">Nota 6: </w:t>
                      </w:r>
                      <w:r>
                        <w:rPr>
                          <w:rFonts w:eastAsia="Arial Unicode MS" w:cs="Calibri"/>
                          <w:bCs/>
                          <w:i/>
                          <w:color w:val="ED7D31"/>
                          <w:sz w:val="24"/>
                          <w:szCs w:val="24"/>
                        </w:rPr>
                        <w:t xml:space="preserve">Na proposta de reprogramação do Plano de Ação, </w:t>
                      </w:r>
                      <w:r>
                        <w:rPr>
                          <w:rFonts w:eastAsia="Arial Unicode MS" w:cs="Calibri"/>
                          <w:b/>
                          <w:i/>
                          <w:color w:val="ED7D31"/>
                          <w:sz w:val="24"/>
                          <w:szCs w:val="24"/>
                        </w:rPr>
                        <w:t xml:space="preserve">mediante justificativas próprias, flexibilizar a aplicação de recursos mínimos descritos no item 2.5. </w:t>
                      </w:r>
                    </w:p>
                    <w:p>
                      <w:pPr>
                        <w:pStyle w:val="Contedodoquadro"/>
                        <w:shd w:val="clear" w:color="auto" w:fill="F4B083" w:themeFill="accent2" w:themeFillTint="99"/>
                        <w:spacing w:lineRule="auto" w:line="360" w:before="0" w:after="160"/>
                        <w:jc w:val="both"/>
                        <w:rPr>
                          <w:b/>
                          <w:b/>
                          <w:i/>
                          <w:i/>
                        </w:rPr>
                      </w:pPr>
                      <w:r>
                        <w:rPr>
                          <w:color w:val="ED7D31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360" w:before="0" w:after="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Ttulo2"/>
        <w:rPr>
          <w:color w:val="006666"/>
          <w:sz w:val="24"/>
          <w:szCs w:val="24"/>
        </w:rPr>
      </w:pPr>
      <w:bookmarkStart w:id="445" w:name="_Toc78546304"/>
      <w:bookmarkStart w:id="446" w:name="_Toc45579781"/>
      <w:bookmarkStart w:id="447" w:name="_Toc45579511"/>
      <w:bookmarkStart w:id="448" w:name="_Toc45573342"/>
      <w:bookmarkStart w:id="449" w:name="_Toc45572877"/>
      <w:bookmarkStart w:id="450" w:name="_Toc45563872"/>
      <w:bookmarkStart w:id="451" w:name="_Toc395610119"/>
      <w:bookmarkStart w:id="452" w:name="_Toc485391713"/>
      <w:bookmarkStart w:id="453" w:name="_Toc485394123"/>
      <w:bookmarkStart w:id="454" w:name="_Toc485395035"/>
      <w:bookmarkStart w:id="455" w:name="_Toc485637474"/>
      <w:bookmarkStart w:id="456" w:name="_Toc485638383"/>
      <w:bookmarkStart w:id="457" w:name="_Toc516740808"/>
      <w:bookmarkStart w:id="458" w:name="_Toc517110707"/>
      <w:bookmarkStart w:id="459" w:name="_Toc517111679"/>
      <w:bookmarkStart w:id="460" w:name="_Toc517111958"/>
      <w:bookmarkStart w:id="461" w:name="_Toc517188815"/>
      <w:bookmarkStart w:id="462" w:name="_Toc517194149"/>
      <w:bookmarkStart w:id="463" w:name="_Toc518381400"/>
      <w:bookmarkStart w:id="464" w:name="_Toc12119525"/>
      <w:bookmarkStart w:id="465" w:name="_Toc12120540"/>
      <w:bookmarkStart w:id="466" w:name="_Toc12185184"/>
      <w:bookmarkStart w:id="467" w:name="_Toc12204970"/>
      <w:bookmarkStart w:id="468" w:name="_Toc12224858"/>
      <w:bookmarkStart w:id="469" w:name="_Toc12225000"/>
      <w:bookmarkStart w:id="470" w:name="_Toc12225205"/>
      <w:bookmarkStart w:id="471" w:name="_Toc45533902"/>
      <w:r>
        <w:rPr>
          <w:color w:val="006666"/>
          <w:sz w:val="24"/>
          <w:szCs w:val="24"/>
        </w:rPr>
        <w:t>2.6 Focando Grupos de Despesas</w:t>
      </w:r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</w:p>
    <w:p>
      <w:pPr>
        <w:pStyle w:val="ListParagraph"/>
        <w:numPr>
          <w:ilvl w:val="0"/>
          <w:numId w:val="17"/>
        </w:numPr>
        <w:spacing w:lineRule="auto" w:line="360"/>
        <w:ind w:left="709" w:hanging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Aplicações em Pessoal</w:t>
      </w:r>
      <w:r>
        <w:rPr>
          <w:rFonts w:eastAsia="Arial Unicode MS" w:cs="Calibri"/>
          <w:sz w:val="24"/>
          <w:szCs w:val="24"/>
        </w:rPr>
        <w:t xml:space="preserve"> (salários e encargos) - o </w:t>
      </w:r>
      <w:r>
        <w:rPr>
          <w:rFonts w:eastAsia="Arial Unicode MS" w:cs="Calibri"/>
          <w:b/>
          <w:sz w:val="24"/>
          <w:szCs w:val="24"/>
        </w:rPr>
        <w:t>máximo de 55,0%</w:t>
      </w:r>
      <w:r>
        <w:rPr>
          <w:rFonts w:eastAsia="Arial Unicode MS" w:cs="Calibri"/>
          <w:sz w:val="24"/>
          <w:szCs w:val="24"/>
        </w:rPr>
        <w:t xml:space="preserve"> (cinquenta e cinco por cento) do total das Receitas Correntes do exercício, compreendendo Receitas de Arrecadação, Aplicações Financeiras e Outras Receitas Correntes, para alocação em Despesas com Pessoal (remunerações, encargos e benefícios).</w:t>
      </w:r>
    </w:p>
    <w:p>
      <w:pPr>
        <w:pStyle w:val="Normal"/>
        <w:spacing w:lineRule="auto" w:line="360"/>
        <w:ind w:left="1418" w:hanging="0"/>
        <w:jc w:val="both"/>
        <w:rPr>
          <w:rFonts w:eastAsia="Arial Unicode MS" w:cs="Calibri"/>
          <w:b/>
          <w:b/>
          <w:i/>
          <w:i/>
          <w:color w:val="000000" w:themeColor="text1"/>
          <w:sz w:val="24"/>
          <w:szCs w:val="24"/>
          <w:lang w:eastAsia="pt-BR"/>
        </w:rPr>
      </w:pPr>
      <w:r>
        <w:rPr>
          <w:rFonts w:eastAsia="Arial Unicode MS" w:cs="Calibri"/>
          <w:b/>
          <w:i/>
          <w:sz w:val="24"/>
          <w:szCs w:val="24"/>
          <w:lang w:eastAsia="pt-BR"/>
        </w:rPr>
        <w:t xml:space="preserve">Obs: </w:t>
      </w:r>
      <w:r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Esse limite não considera as despesas com pessoal decorrentes de: auxílio transporte, auxílio alimentação, plano de saúde e demais benefícios concedidos pelo CAU/UF e CAU/BR a seus colaboradores, bem como os valores de rescisões trabalhistas, tendo em vista não serem de natureza remuneratória e sim de natureza indenizatória (art.18, inciso I, parágrafo 1º do art. 19 da Lei Complementar 101/2000 – Lei de Responsabilidade Fiscal).</w:t>
      </w:r>
    </w:p>
    <w:p>
      <w:pPr>
        <w:pStyle w:val="Normal"/>
        <w:spacing w:lineRule="auto" w:line="360"/>
        <w:ind w:left="1418" w:hanging="0"/>
        <w:jc w:val="both"/>
        <w:rPr>
          <w:rFonts w:eastAsia="Arial Unicode MS" w:cs="Calibri"/>
          <w:b/>
          <w:b/>
          <w:i/>
          <w:i/>
          <w:color w:val="000000" w:themeColor="text1"/>
          <w:sz w:val="24"/>
          <w:szCs w:val="24"/>
          <w:lang w:eastAsia="pt-BR"/>
        </w:rPr>
      </w:pPr>
      <w:r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behindDoc="0" distT="0" distB="0" distL="0" distR="0" simplePos="0" locked="0" layoutInCell="0" allowOverlap="1" relativeHeight="101" wp14:anchorId="30AA90BA">
                <wp:simplePos x="0" y="0"/>
                <wp:positionH relativeFrom="margin">
                  <wp:align>right</wp:align>
                </wp:positionH>
                <wp:positionV relativeFrom="paragraph">
                  <wp:posOffset>189230</wp:posOffset>
                </wp:positionV>
                <wp:extent cx="5760085" cy="934085"/>
                <wp:effectExtent l="0" t="0" r="0" b="0"/>
                <wp:wrapNone/>
                <wp:docPr id="23" name="Caixa de Texto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280" cy="933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hd w:val="clear" w:color="auto" w:fill="F4B083" w:themeFill="accent2" w:themeFillTint="99"/>
                              <w:spacing w:lineRule="auto" w:line="360" w:before="0" w:after="160"/>
                              <w:jc w:val="both"/>
                              <w:rPr>
                                <w:b/>
                                <w:b/>
                                <w:i/>
                                <w:i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i/>
                                <w:color w:val="ED7D31"/>
                                <w:sz w:val="24"/>
                                <w:szCs w:val="24"/>
                              </w:rPr>
                              <w:t xml:space="preserve">Nota 7: </w:t>
                            </w:r>
                            <w:r>
                              <w:rPr>
                                <w:rFonts w:eastAsia="Arial Unicode MS" w:cs="Calibri"/>
                                <w:bCs/>
                                <w:i/>
                                <w:color w:val="ED7D31"/>
                                <w:sz w:val="24"/>
                                <w:szCs w:val="24"/>
                              </w:rPr>
                              <w:t xml:space="preserve">Na proposta de programação do Plano de Ação 2021, fica 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color w:val="ED7D31"/>
                                <w:sz w:val="24"/>
                                <w:szCs w:val="24"/>
                                <w:u w:val="single"/>
                              </w:rPr>
                              <w:t>VEDADA</w:t>
                            </w:r>
                            <w:r>
                              <w:rPr>
                                <w:rFonts w:eastAsia="Arial Unicode MS" w:cs="Calibri"/>
                                <w:bCs/>
                                <w:i/>
                                <w:color w:val="ED7D31"/>
                                <w:sz w:val="24"/>
                                <w:szCs w:val="24"/>
                              </w:rPr>
                              <w:t xml:space="preserve">, a inobservância de aplicação 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color w:val="ED7D31"/>
                                <w:sz w:val="24"/>
                                <w:szCs w:val="24"/>
                              </w:rPr>
                              <w:t>do percentual máximo de 55%</w:t>
                            </w:r>
                            <w:r>
                              <w:rPr>
                                <w:rFonts w:eastAsia="Arial Unicode MS" w:cs="Calibri"/>
                                <w:bCs/>
                                <w:i/>
                                <w:color w:val="ED7D31"/>
                                <w:sz w:val="24"/>
                                <w:szCs w:val="24"/>
                              </w:rPr>
                              <w:t xml:space="preserve"> (cinquenta e cinco por cento) da Receita Corrente para despesas com pessoal.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1" path="m0,0l-2147483645,0l-2147483645,-2147483646l0,-2147483646xe" stroked="f" style="position:absolute;margin-left:-0.05pt;margin-top:14.9pt;width:453.45pt;height:73.45pt;mso-wrap-style:square;v-text-anchor:top;mso-position-horizontal:right;mso-position-horizontal-relative:margin" wp14:anchorId="30AA90BA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hd w:val="clear" w:color="auto" w:fill="F4B083" w:themeFill="accent2" w:themeFillTint="99"/>
                        <w:spacing w:lineRule="auto" w:line="360" w:before="0" w:after="160"/>
                        <w:jc w:val="both"/>
                        <w:rPr>
                          <w:b/>
                          <w:b/>
                          <w:i/>
                          <w:i/>
                        </w:rPr>
                      </w:pPr>
                      <w:r>
                        <w:rPr>
                          <w:rFonts w:eastAsia="Arial Unicode MS" w:cs="Calibri"/>
                          <w:b/>
                          <w:i/>
                          <w:color w:val="ED7D31"/>
                          <w:sz w:val="24"/>
                          <w:szCs w:val="24"/>
                        </w:rPr>
                        <w:t xml:space="preserve">Nota 7: </w:t>
                      </w:r>
                      <w:r>
                        <w:rPr>
                          <w:rFonts w:eastAsia="Arial Unicode MS" w:cs="Calibri"/>
                          <w:bCs/>
                          <w:i/>
                          <w:color w:val="ED7D31"/>
                          <w:sz w:val="24"/>
                          <w:szCs w:val="24"/>
                        </w:rPr>
                        <w:t xml:space="preserve">Na proposta de programação do Plano de Ação 2021, fica </w:t>
                      </w:r>
                      <w:r>
                        <w:rPr>
                          <w:rFonts w:eastAsia="Arial Unicode MS" w:cs="Calibri"/>
                          <w:b/>
                          <w:i/>
                          <w:color w:val="ED7D31"/>
                          <w:sz w:val="24"/>
                          <w:szCs w:val="24"/>
                          <w:u w:val="single"/>
                        </w:rPr>
                        <w:t>VEDADA</w:t>
                      </w:r>
                      <w:r>
                        <w:rPr>
                          <w:rFonts w:eastAsia="Arial Unicode MS" w:cs="Calibri"/>
                          <w:bCs/>
                          <w:i/>
                          <w:color w:val="ED7D31"/>
                          <w:sz w:val="24"/>
                          <w:szCs w:val="24"/>
                        </w:rPr>
                        <w:t xml:space="preserve">, a inobservância de aplicação </w:t>
                      </w:r>
                      <w:r>
                        <w:rPr>
                          <w:rFonts w:eastAsia="Arial Unicode MS" w:cs="Calibri"/>
                          <w:b/>
                          <w:i/>
                          <w:color w:val="ED7D31"/>
                          <w:sz w:val="24"/>
                          <w:szCs w:val="24"/>
                        </w:rPr>
                        <w:t>do percentual máximo de 55%</w:t>
                      </w:r>
                      <w:r>
                        <w:rPr>
                          <w:rFonts w:eastAsia="Arial Unicode MS" w:cs="Calibri"/>
                          <w:bCs/>
                          <w:i/>
                          <w:color w:val="ED7D31"/>
                          <w:sz w:val="24"/>
                          <w:szCs w:val="24"/>
                        </w:rPr>
                        <w:t xml:space="preserve"> (cinquenta e cinco por cento) da Receita Corrente para despesas com pessoal.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360"/>
        <w:ind w:left="1418" w:hanging="0"/>
        <w:jc w:val="both"/>
        <w:rPr>
          <w:rFonts w:eastAsia="Arial Unicode MS" w:cs="Calibri"/>
          <w:b/>
          <w:b/>
          <w:i/>
          <w:i/>
          <w:color w:val="000000" w:themeColor="text1"/>
          <w:sz w:val="24"/>
          <w:szCs w:val="24"/>
          <w:lang w:eastAsia="pt-BR"/>
        </w:rPr>
      </w:pPr>
      <w:r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r>
    </w:p>
    <w:p>
      <w:pPr>
        <w:pStyle w:val="Normal"/>
        <w:spacing w:lineRule="auto" w:line="360"/>
        <w:ind w:left="1418" w:hanging="0"/>
        <w:jc w:val="both"/>
        <w:rPr>
          <w:rFonts w:eastAsia="Arial Unicode MS" w:cs="Calibri"/>
          <w:b/>
          <w:b/>
          <w:i/>
          <w:i/>
          <w:color w:val="000000" w:themeColor="text1"/>
          <w:sz w:val="24"/>
          <w:szCs w:val="24"/>
          <w:lang w:eastAsia="pt-BR"/>
        </w:rPr>
      </w:pPr>
      <w:r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r>
    </w:p>
    <w:p>
      <w:pPr>
        <w:pStyle w:val="Normal"/>
        <w:spacing w:lineRule="auto" w:line="360"/>
        <w:ind w:left="1418" w:hanging="0"/>
        <w:jc w:val="both"/>
        <w:rPr>
          <w:rFonts w:eastAsia="Arial Unicode MS" w:cs="Calibri"/>
          <w:b/>
          <w:b/>
          <w:i/>
          <w:i/>
          <w:color w:val="000000" w:themeColor="text1"/>
          <w:sz w:val="24"/>
          <w:szCs w:val="24"/>
          <w:lang w:eastAsia="pt-BR"/>
        </w:rPr>
      </w:pPr>
      <w:r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r>
    </w:p>
    <w:p>
      <w:pPr>
        <w:pStyle w:val="ListParagraph"/>
        <w:numPr>
          <w:ilvl w:val="0"/>
          <w:numId w:val="17"/>
        </w:numPr>
        <w:spacing w:lineRule="auto" w:line="360"/>
        <w:ind w:left="709" w:hanging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Aplicações em imobilizações</w:t>
      </w:r>
      <w:r>
        <w:rPr>
          <w:rFonts w:eastAsia="Arial Unicode MS" w:cs="Calibri"/>
          <w:sz w:val="24"/>
          <w:szCs w:val="24"/>
        </w:rPr>
        <w:t xml:space="preserve"> - a </w:t>
      </w:r>
      <w:r>
        <w:rPr>
          <w:rFonts w:eastAsia="Arial Unicode MS" w:cs="Calibri"/>
          <w:b/>
          <w:sz w:val="24"/>
          <w:szCs w:val="24"/>
        </w:rPr>
        <w:t>alocação</w:t>
      </w:r>
      <w:r>
        <w:rPr>
          <w:rFonts w:eastAsia="Arial Unicode MS" w:cs="Calibri"/>
          <w:sz w:val="24"/>
          <w:szCs w:val="24"/>
        </w:rPr>
        <w:t xml:space="preserve"> dos recursos de </w:t>
      </w:r>
      <w:r>
        <w:rPr>
          <w:rFonts w:eastAsia="Arial Unicode MS" w:cs="Calibri"/>
          <w:b/>
          <w:sz w:val="24"/>
          <w:szCs w:val="24"/>
        </w:rPr>
        <w:t>superávit financeiro de exercícios anteriores (Receitas de Capital)</w:t>
      </w:r>
      <w:r>
        <w:rPr>
          <w:rFonts w:eastAsia="Arial Unicode MS" w:cs="Calibri"/>
          <w:sz w:val="24"/>
          <w:szCs w:val="24"/>
        </w:rPr>
        <w:t xml:space="preserve"> fica condicionada à </w:t>
      </w:r>
      <w:r>
        <w:rPr>
          <w:rFonts w:eastAsia="Arial Unicode MS" w:cs="Calibri"/>
          <w:b/>
          <w:sz w:val="24"/>
          <w:szCs w:val="24"/>
        </w:rPr>
        <w:t>utilização em Despesas de Capital</w:t>
      </w:r>
      <w:r>
        <w:rPr>
          <w:rFonts w:eastAsia="Arial Unicode MS" w:cs="Calibri"/>
          <w:sz w:val="24"/>
          <w:szCs w:val="24"/>
        </w:rPr>
        <w:t xml:space="preserve"> (bens móveis e imóveis) e </w:t>
      </w:r>
      <w:r>
        <w:rPr>
          <w:rFonts w:eastAsia="Arial Unicode MS" w:cs="Calibri"/>
          <w:b/>
          <w:bCs/>
          <w:sz w:val="24"/>
          <w:szCs w:val="24"/>
        </w:rPr>
        <w:t>Projetos Específicos</w:t>
      </w:r>
      <w:r>
        <w:rPr>
          <w:rFonts w:eastAsia="Arial Unicode MS" w:cs="Calibri"/>
          <w:sz w:val="24"/>
          <w:szCs w:val="24"/>
        </w:rPr>
        <w:t>, conforme Resolução nº 200. Cabe ressalvar que, na composição das metas financeiras dos projetos e atividades, devem ser considerados todos os custos destinados a suportar as ações priorizadas pelo Conselho, sejam com pessoal envolvido (salários, encargos e benefícios), serviços de terceiros e demais custos. Exemplo: em um projeto de Fiscalização, cujos fiscais são parte integrante do pessoal envolvido na realização das ações desse projeto, os custos decorrentes devem estar nele inseridos, bem como os demais custos necessários à plena execução e atingimento dos resultados estabelecidos.</w:t>
      </w:r>
    </w:p>
    <w:p>
      <w:pPr>
        <w:pStyle w:val="ListParagraph"/>
        <w:numPr>
          <w:ilvl w:val="0"/>
          <w:numId w:val="17"/>
        </w:numPr>
        <w:spacing w:lineRule="auto" w:line="360"/>
        <w:ind w:left="709" w:hanging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Cs/>
          <w:color w:val="000000" w:themeColor="text1"/>
          <w:sz w:val="24"/>
          <w:szCs w:val="24"/>
        </w:rPr>
        <w:t xml:space="preserve">As despesas com fiscalização devem conter, exclusivamente: as despesas com salários, encargos e benefícios dos fiscais no exercício da atividade; despesas com transporte e com veículos e equipamentos utilizados na fiscalização, incluindo custos de manutenção e combustíveis; diárias para cobrir estadia e alimentação dos fiscais, despesas com capacitação dos fiscais e custos com telefonia móvel institucional utilizada pelos fiscais. Nesse valor, </w:t>
      </w:r>
      <w:r>
        <w:rPr>
          <w:rFonts w:eastAsia="Arial Unicode MS" w:cs="Calibri"/>
          <w:b/>
          <w:color w:val="000000" w:themeColor="text1"/>
          <w:sz w:val="24"/>
          <w:szCs w:val="24"/>
          <w:u w:val="single"/>
        </w:rPr>
        <w:t>não devem</w:t>
      </w:r>
      <w:r>
        <w:rPr>
          <w:rFonts w:eastAsia="Arial Unicode MS" w:cs="Calibri"/>
          <w:bCs/>
          <w:color w:val="000000" w:themeColor="text1"/>
          <w:sz w:val="24"/>
          <w:szCs w:val="24"/>
        </w:rPr>
        <w:t xml:space="preserve"> ser incluídos o valor de aquisição e aluguel de imóveis e o valor de aquisição de automóveis (disponível em: https://portal.tcu.gov.br/lumis/portal/file/fileDownload.jsp).</w:t>
      </w:r>
      <w:bookmarkStart w:id="472" w:name="_Hlk52205428"/>
      <w:bookmarkEnd w:id="472"/>
    </w:p>
    <w:p>
      <w:pPr>
        <w:pStyle w:val="ListParagraph"/>
        <w:spacing w:lineRule="auto" w:line="360"/>
        <w:ind w:left="1571" w:hanging="0"/>
        <w:jc w:val="both"/>
        <w:rPr>
          <w:rFonts w:eastAsia="Arial Unicode MS" w:cs="Calibri"/>
          <w:i/>
          <w:i/>
          <w:sz w:val="24"/>
          <w:szCs w:val="24"/>
        </w:rPr>
      </w:pPr>
      <w:r>
        <w:rPr>
          <w:rFonts w:eastAsia="Arial Unicode MS" w:cs="Calibri"/>
          <w:b/>
          <w:i/>
          <w:sz w:val="24"/>
          <w:szCs w:val="24"/>
        </w:rPr>
        <w:t xml:space="preserve">Obs.: </w:t>
      </w:r>
      <w:r>
        <w:rPr>
          <w:rFonts w:eastAsia="Arial Unicode MS" w:cs="Calibri"/>
          <w:i/>
          <w:sz w:val="24"/>
          <w:szCs w:val="24"/>
        </w:rPr>
        <w:t>No caso dos CAU/Básico, o valor a ser destinado aos objetivos estratégicos, na forma elencada anteriormente, além das receitas de arrecadação total também inclui os valores a serem recebidos do Fundo de Apoio, nos montantes constantes na presente Diretrizes.</w:t>
      </w:r>
    </w:p>
    <w:p>
      <w:pPr>
        <w:pStyle w:val="Normal"/>
        <w:spacing w:lineRule="auto" w:line="360"/>
        <w:jc w:val="both"/>
        <w:rPr>
          <w:rFonts w:eastAsia="Arial Unicode MS" w:cs="Calibri"/>
          <w:i/>
          <w:i/>
          <w:sz w:val="24"/>
          <w:szCs w:val="24"/>
        </w:rPr>
      </w:pPr>
      <w:r>
        <w:rPr>
          <w:rFonts w:eastAsia="Arial Unicode MS" w:cs="Calibri"/>
          <w:i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eastAsia="Arial Unicode MS" w:cs="Calibri"/>
          <w:i/>
          <w:i/>
          <w:sz w:val="24"/>
          <w:szCs w:val="24"/>
        </w:rPr>
      </w:pPr>
      <w:r>
        <w:rPr>
          <w:rFonts w:eastAsia="Arial Unicode MS" w:cs="Calibri"/>
          <w:i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eastAsia="Arial Unicode MS" w:cs="Calibri"/>
          <w:i/>
          <w:i/>
          <w:sz w:val="24"/>
          <w:szCs w:val="24"/>
        </w:rPr>
      </w:pPr>
      <w:r>
        <w:rPr>
          <w:rFonts w:eastAsia="Arial Unicode MS" w:cs="Calibri"/>
          <w:i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eastAsia="Arial Unicode MS" w:cs="Calibri"/>
          <w:i/>
          <w:i/>
          <w:sz w:val="24"/>
          <w:szCs w:val="24"/>
        </w:rPr>
      </w:pPr>
      <w:r>
        <w:rPr>
          <w:rFonts w:eastAsia="Arial Unicode MS" w:cs="Calibri"/>
          <w:i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eastAsia="Arial Unicode MS" w:cs="Calibri"/>
          <w:i/>
          <w:i/>
          <w:sz w:val="24"/>
          <w:szCs w:val="24"/>
        </w:rPr>
      </w:pPr>
      <w:r>
        <w:rPr>
          <w:rFonts w:eastAsia="Arial Unicode MS" w:cs="Calibri"/>
          <w:i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eastAsia="Arial Unicode MS" w:cs="Calibri"/>
          <w:i/>
          <w:i/>
          <w:sz w:val="24"/>
          <w:szCs w:val="24"/>
        </w:rPr>
      </w:pPr>
      <w:r>
        <w:rPr>
          <w:rFonts w:eastAsia="Arial Unicode MS" w:cs="Calibri"/>
          <w:i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eastAsia="Arial Unicode MS" w:cs="Calibri"/>
          <w:i/>
          <w:i/>
          <w:sz w:val="24"/>
          <w:szCs w:val="24"/>
        </w:rPr>
      </w:pPr>
      <w:r>
        <w:rPr>
          <w:rFonts w:eastAsia="Arial Unicode MS" w:cs="Calibri"/>
          <w:i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eastAsia="Arial Unicode MS" w:cs="Calibri"/>
          <w:i/>
          <w:i/>
          <w:sz w:val="24"/>
          <w:szCs w:val="24"/>
        </w:rPr>
      </w:pPr>
      <w:r>
        <w:rPr>
          <w:rFonts w:eastAsia="Arial Unicode MS" w:cs="Calibri"/>
          <w:i/>
          <w:sz w:val="24"/>
          <w:szCs w:val="24"/>
        </w:rPr>
      </w:r>
    </w:p>
    <w:p>
      <w:pPr>
        <w:pStyle w:val="Ttulo1"/>
        <w:numPr>
          <w:ilvl w:val="0"/>
          <w:numId w:val="3"/>
        </w:numPr>
        <w:jc w:val="both"/>
        <w:rPr>
          <w:rFonts w:eastAsia="Arial Unicode MS"/>
          <w:color w:val="000000" w:themeColor="text1"/>
          <w:sz w:val="24"/>
          <w:szCs w:val="24"/>
        </w:rPr>
      </w:pPr>
      <w:bookmarkStart w:id="473" w:name="_Toc45579782"/>
      <w:bookmarkStart w:id="474" w:name="_Toc45579512"/>
      <w:bookmarkStart w:id="475" w:name="_Toc45573343"/>
      <w:bookmarkStart w:id="476" w:name="_Toc45572878"/>
      <w:bookmarkStart w:id="477" w:name="_Toc45563873"/>
      <w:bookmarkStart w:id="478" w:name="_Toc485391715"/>
      <w:bookmarkStart w:id="479" w:name="_Toc485394125"/>
      <w:bookmarkStart w:id="480" w:name="_Toc485395037"/>
      <w:bookmarkStart w:id="481" w:name="_Toc485637476"/>
      <w:bookmarkStart w:id="482" w:name="_Toc485638385"/>
      <w:bookmarkStart w:id="483" w:name="_Toc516740809"/>
      <w:bookmarkStart w:id="484" w:name="_Toc517110708"/>
      <w:bookmarkStart w:id="485" w:name="_Toc517111680"/>
      <w:bookmarkStart w:id="486" w:name="_Toc517111959"/>
      <w:bookmarkStart w:id="487" w:name="_Toc517188816"/>
      <w:bookmarkStart w:id="488" w:name="_Toc517194150"/>
      <w:bookmarkStart w:id="489" w:name="_Toc518381401"/>
      <w:bookmarkStart w:id="490" w:name="_Toc12119526"/>
      <w:bookmarkStart w:id="491" w:name="_Toc12120541"/>
      <w:bookmarkStart w:id="492" w:name="_Toc12185185"/>
      <w:bookmarkStart w:id="493" w:name="_Toc12204971"/>
      <w:bookmarkStart w:id="494" w:name="_Toc12224859"/>
      <w:bookmarkStart w:id="495" w:name="_Toc12225001"/>
      <w:bookmarkStart w:id="496" w:name="_Toc12225206"/>
      <w:bookmarkStart w:id="497" w:name="_Toc45533903"/>
      <w:bookmarkStart w:id="498" w:name="_Toc78546305"/>
      <w:r>
        <w:rPr>
          <w:color w:val="006666"/>
          <w:sz w:val="28"/>
          <w:szCs w:val="28"/>
        </w:rPr>
        <w:t>SISTEMÁTICA ELABORAÇÃO DA REPROGRAMAÇÃO DO PLANO DE AÇÃO</w:t>
      </w:r>
      <w:bookmarkEnd w:id="498"/>
      <w:r>
        <w:rPr>
          <w:color w:val="006666"/>
          <w:sz w:val="28"/>
          <w:szCs w:val="28"/>
        </w:rPr>
        <w:t xml:space="preserve"> </w:t>
      </w:r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</w:p>
    <w:p>
      <w:pPr>
        <w:pStyle w:val="Ttulo1"/>
        <w:ind w:left="0" w:firstLine="708"/>
        <w:jc w:val="both"/>
        <w:rPr>
          <w:rFonts w:eastAsia="Arial Unicode MS"/>
          <w:b w:val="false"/>
          <w:b w:val="false"/>
          <w:bCs/>
          <w:color w:val="000000" w:themeColor="text1"/>
          <w:sz w:val="24"/>
          <w:szCs w:val="24"/>
        </w:rPr>
      </w:pPr>
      <w:bookmarkStart w:id="499" w:name="_Toc78546306"/>
      <w:r>
        <w:rPr>
          <w:rFonts w:eastAsia="Arial Unicode MS"/>
          <w:b w:val="false"/>
          <w:bCs/>
          <w:sz w:val="24"/>
          <w:szCs w:val="24"/>
        </w:rPr>
        <w:t xml:space="preserve">O CAU/BR e os CAU/UF elaborarão a proposta de Reprogramação de seus Planos de Ação e Orçamento, </w:t>
      </w:r>
      <w:r>
        <w:rPr>
          <w:rFonts w:eastAsia="Arial Unicode MS"/>
          <w:b w:val="false"/>
          <w:bCs/>
          <w:color w:val="000000" w:themeColor="text1"/>
          <w:sz w:val="24"/>
          <w:szCs w:val="24"/>
        </w:rPr>
        <w:t>contendo as seguintes peças:</w:t>
      </w:r>
      <w:bookmarkEnd w:id="499"/>
    </w:p>
    <w:p>
      <w:pPr>
        <w:pStyle w:val="ListParagraph"/>
        <w:numPr>
          <w:ilvl w:val="0"/>
          <w:numId w:val="36"/>
        </w:numPr>
        <w:spacing w:lineRule="auto" w:line="360"/>
        <w:ind w:left="1418" w:hanging="284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Mapa estratégico do CAU/UF com os objetivos estratégicos priorizados para a </w:t>
      </w:r>
      <w:r>
        <w:rPr>
          <w:rFonts w:eastAsia="Arial Unicode MS" w:cs="Calibri"/>
          <w:sz w:val="24"/>
          <w:szCs w:val="24"/>
        </w:rPr>
        <w:t>reprogramação 2021 (os três nacionais e os locais definidos pelo CAU/UF).</w:t>
      </w:r>
    </w:p>
    <w:p>
      <w:pPr>
        <w:pStyle w:val="ListParagraph"/>
        <w:numPr>
          <w:ilvl w:val="0"/>
          <w:numId w:val="18"/>
        </w:numPr>
        <w:spacing w:lineRule="auto" w:line="360"/>
        <w:ind w:left="1418" w:hanging="284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Indicadores institucionais e de resultados dos objetivos estratégicos priorizados com indicação das metas revisadas para 2021. </w:t>
      </w:r>
    </w:p>
    <w:p>
      <w:pPr>
        <w:pStyle w:val="ListParagraph"/>
        <w:numPr>
          <w:ilvl w:val="0"/>
          <w:numId w:val="18"/>
        </w:numPr>
        <w:spacing w:lineRule="auto" w:line="360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>Plano de ação por projeto e atividade - na forma do Anexo XV.</w:t>
      </w:r>
    </w:p>
    <w:p>
      <w:pPr>
        <w:pStyle w:val="ListParagraph"/>
        <w:numPr>
          <w:ilvl w:val="0"/>
          <w:numId w:val="18"/>
        </w:numPr>
        <w:spacing w:lineRule="auto" w:line="360"/>
        <w:ind w:left="1418" w:hanging="284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Limites de Aplicações dos </w:t>
      </w:r>
      <w:r>
        <w:rPr>
          <w:rFonts w:eastAsia="Arial Unicode MS" w:cs="Calibri"/>
          <w:sz w:val="24"/>
          <w:szCs w:val="24"/>
        </w:rPr>
        <w:t>Recursos Estratégicos.</w:t>
      </w:r>
    </w:p>
    <w:p>
      <w:pPr>
        <w:pStyle w:val="ListParagraph"/>
        <w:numPr>
          <w:ilvl w:val="0"/>
          <w:numId w:val="18"/>
        </w:numPr>
        <w:spacing w:lineRule="auto" w:line="360"/>
        <w:ind w:left="1418" w:hanging="284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Ações Estratégicas Prioritárias 2021;</w:t>
      </w:r>
    </w:p>
    <w:p>
      <w:pPr>
        <w:pStyle w:val="ListParagraph"/>
        <w:numPr>
          <w:ilvl w:val="0"/>
          <w:numId w:val="18"/>
        </w:numPr>
        <w:spacing w:lineRule="auto" w:line="360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>Cenários de receitas - valores e critérios de projeção. As receitas de arrecadação devem observar as metas contempladas nessas Diretrizes. Para as receitas de exercícios anteriores as projeções são definidas por cada CAU/UF.</w:t>
      </w:r>
    </w:p>
    <w:p>
      <w:pPr>
        <w:pStyle w:val="ListParagraph"/>
        <w:numPr>
          <w:ilvl w:val="0"/>
          <w:numId w:val="18"/>
        </w:numPr>
        <w:spacing w:lineRule="auto" w:line="360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>Orçamento - na forma dos centros de custos do Plano de Ação.</w:t>
      </w:r>
    </w:p>
    <w:p>
      <w:pPr>
        <w:pStyle w:val="ListParagraph"/>
        <w:numPr>
          <w:ilvl w:val="0"/>
          <w:numId w:val="18"/>
        </w:numPr>
        <w:spacing w:lineRule="auto" w:line="360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Aprovação pela Comissão de Planejamento e Finanças do respectivo CAU/UF. </w:t>
      </w:r>
    </w:p>
    <w:p>
      <w:pPr>
        <w:pStyle w:val="ListParagraph"/>
        <w:numPr>
          <w:ilvl w:val="0"/>
          <w:numId w:val="18"/>
        </w:numPr>
        <w:spacing w:lineRule="auto" w:line="360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>Aprovação da proposta da Programação do Plano de Ação e Orçamento, pelo Plenário do respectivo CAU/UF.</w:t>
      </w:r>
    </w:p>
    <w:p>
      <w:pPr>
        <w:pStyle w:val="Normal"/>
        <w:spacing w:lineRule="auto" w:line="360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0" allowOverlap="1" relativeHeight="96" wp14:anchorId="1FF3B33D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5760085" cy="2239645"/>
                <wp:effectExtent l="0" t="0" r="0" b="9525"/>
                <wp:wrapNone/>
                <wp:docPr id="25" name="Caixa de Texto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280" cy="2238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hd w:val="clear" w:color="auto" w:fill="F4B083" w:themeFill="accent2" w:themeFillTint="99"/>
                              <w:spacing w:lineRule="auto" w:line="360" w:before="0" w:after="160"/>
                              <w:jc w:val="both"/>
                              <w:rPr>
                                <w:b/>
                                <w:b/>
                                <w:i/>
                                <w:i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i/>
                                <w:color w:val="ED7D31"/>
                                <w:sz w:val="24"/>
                                <w:szCs w:val="24"/>
                              </w:rPr>
                              <w:t xml:space="preserve">Nota 8: </w:t>
                            </w:r>
                            <w:r>
                              <w:rPr>
                                <w:rFonts w:eastAsia="Arial Unicode MS" w:cs="Calibri"/>
                                <w:bCs/>
                                <w:i/>
                                <w:color w:val="ED7D31"/>
                                <w:sz w:val="24"/>
                                <w:szCs w:val="24"/>
                              </w:rPr>
                              <w:t>Cabe ressalvar que, na composição das metas financeiras dos projetos e atividades, devem ser considerados todos os custos destinados a suportar as ações priorizadas pelo Conselho, sejam com pessoal envolvido (salários e encargos), serviços de terceiros, e demais custos. Exemplo: em um projeto de Fiscalização, cujos fiscais são parte integrante do pessoal envolvido na realização das ações desse projeto, os custos decorrentes devem estar nele inseridos, bem como os demais custos necessários à plena execução e atingimento dos resultados estabelecidos.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8" path="m0,0l-2147483645,0l-2147483645,-2147483646l0,-2147483646xe" stroked="f" style="position:absolute;margin-left:-0.05pt;margin-top:5.05pt;width:453.45pt;height:176.25pt;mso-wrap-style:square;v-text-anchor:top;mso-position-horizontal:right;mso-position-horizontal-relative:margin" wp14:anchorId="1FF3B33D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hd w:val="clear" w:color="auto" w:fill="F4B083" w:themeFill="accent2" w:themeFillTint="99"/>
                        <w:spacing w:lineRule="auto" w:line="360" w:before="0" w:after="160"/>
                        <w:jc w:val="both"/>
                        <w:rPr>
                          <w:b/>
                          <w:b/>
                          <w:i/>
                          <w:i/>
                        </w:rPr>
                      </w:pPr>
                      <w:r>
                        <w:rPr>
                          <w:rFonts w:eastAsia="Arial Unicode MS" w:cs="Calibri"/>
                          <w:b/>
                          <w:i/>
                          <w:color w:val="ED7D31"/>
                          <w:sz w:val="24"/>
                          <w:szCs w:val="24"/>
                        </w:rPr>
                        <w:t xml:space="preserve">Nota 8: </w:t>
                      </w:r>
                      <w:r>
                        <w:rPr>
                          <w:rFonts w:eastAsia="Arial Unicode MS" w:cs="Calibri"/>
                          <w:bCs/>
                          <w:i/>
                          <w:color w:val="ED7D31"/>
                          <w:sz w:val="24"/>
                          <w:szCs w:val="24"/>
                        </w:rPr>
                        <w:t>Cabe ressalvar que, na composição das metas financeiras dos projetos e atividades, devem ser considerados todos os custos destinados a suportar as ações priorizadas pelo Conselho, sejam com pessoal envolvido (salários e encargos), serviços de terceiros, e demais custos. Exemplo: em um projeto de Fiscalização, cujos fiscais são parte integrante do pessoal envolvido na realização das ações desse projeto, os custos decorrentes devem estar nele inseridos, bem como os demais custos necessários à plena execução e atingimento dos resultados estabelecidos.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360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</w:r>
    </w:p>
    <w:p>
      <w:pPr>
        <w:pStyle w:val="ListParagraph"/>
        <w:spacing w:lineRule="auto" w:line="360"/>
        <w:ind w:left="1418" w:hanging="0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</w:r>
    </w:p>
    <w:p>
      <w:pPr>
        <w:pStyle w:val="ListParagraph"/>
        <w:spacing w:lineRule="auto" w:line="360"/>
        <w:ind w:left="1211" w:hanging="0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ListParagraph"/>
        <w:spacing w:lineRule="auto" w:line="360"/>
        <w:ind w:left="1211" w:hanging="0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</w:r>
    </w:p>
    <w:p>
      <w:pPr>
        <w:pStyle w:val="Ttulo2"/>
        <w:rPr>
          <w:color w:val="006666"/>
          <w:sz w:val="24"/>
          <w:szCs w:val="24"/>
        </w:rPr>
      </w:pPr>
      <w:r>
        <w:rPr>
          <w:color w:val="006666"/>
          <w:sz w:val="24"/>
          <w:szCs w:val="24"/>
        </w:rPr>
      </w:r>
      <w:bookmarkStart w:id="500" w:name="_Toc45579783"/>
      <w:bookmarkStart w:id="501" w:name="_Toc45579513"/>
      <w:bookmarkStart w:id="502" w:name="_Toc45573344"/>
      <w:bookmarkStart w:id="503" w:name="_Toc45572879"/>
      <w:bookmarkStart w:id="504" w:name="_Toc45563874"/>
      <w:bookmarkStart w:id="505" w:name="_Toc485391716"/>
      <w:bookmarkStart w:id="506" w:name="_Toc485394126"/>
      <w:bookmarkStart w:id="507" w:name="_Toc485395038"/>
      <w:bookmarkStart w:id="508" w:name="_Toc485637477"/>
      <w:bookmarkStart w:id="509" w:name="_Toc485638386"/>
      <w:bookmarkStart w:id="510" w:name="_Toc516740810"/>
      <w:bookmarkStart w:id="511" w:name="_Toc517110709"/>
      <w:bookmarkStart w:id="512" w:name="_Toc517111681"/>
      <w:bookmarkStart w:id="513" w:name="_Toc517111960"/>
      <w:bookmarkStart w:id="514" w:name="_Toc517188817"/>
      <w:bookmarkStart w:id="515" w:name="_Toc517194151"/>
      <w:bookmarkStart w:id="516" w:name="_Toc518381402"/>
      <w:bookmarkStart w:id="517" w:name="_Toc12119527"/>
      <w:bookmarkStart w:id="518" w:name="_Toc12120542"/>
      <w:bookmarkStart w:id="519" w:name="_Toc12185186"/>
      <w:bookmarkStart w:id="520" w:name="_Toc12204972"/>
      <w:bookmarkStart w:id="521" w:name="_Toc12224860"/>
      <w:bookmarkStart w:id="522" w:name="_Toc12225002"/>
      <w:bookmarkStart w:id="523" w:name="_Toc12225207"/>
      <w:bookmarkStart w:id="524" w:name="_Toc45533904"/>
      <w:bookmarkStart w:id="525" w:name="_Toc45579783"/>
      <w:bookmarkStart w:id="526" w:name="_Toc45579513"/>
      <w:bookmarkStart w:id="527" w:name="_Toc45573344"/>
      <w:bookmarkStart w:id="528" w:name="_Toc45572879"/>
      <w:bookmarkStart w:id="529" w:name="_Toc45563874"/>
      <w:bookmarkStart w:id="530" w:name="_Toc485391716"/>
      <w:bookmarkStart w:id="531" w:name="_Toc485394126"/>
      <w:bookmarkStart w:id="532" w:name="_Toc485395038"/>
      <w:bookmarkStart w:id="533" w:name="_Toc485637477"/>
      <w:bookmarkStart w:id="534" w:name="_Toc485638386"/>
      <w:bookmarkStart w:id="535" w:name="_Toc516740810"/>
      <w:bookmarkStart w:id="536" w:name="_Toc517110709"/>
      <w:bookmarkStart w:id="537" w:name="_Toc517111681"/>
      <w:bookmarkStart w:id="538" w:name="_Toc517111960"/>
      <w:bookmarkStart w:id="539" w:name="_Toc517188817"/>
      <w:bookmarkStart w:id="540" w:name="_Toc517194151"/>
      <w:bookmarkStart w:id="541" w:name="_Toc518381402"/>
      <w:bookmarkStart w:id="542" w:name="_Toc12119527"/>
      <w:bookmarkStart w:id="543" w:name="_Toc12120542"/>
      <w:bookmarkStart w:id="544" w:name="_Toc12185186"/>
      <w:bookmarkStart w:id="545" w:name="_Toc12204972"/>
      <w:bookmarkStart w:id="546" w:name="_Toc12224860"/>
      <w:bookmarkStart w:id="547" w:name="_Toc12225002"/>
      <w:bookmarkStart w:id="548" w:name="_Toc12225207"/>
      <w:bookmarkStart w:id="549" w:name="_Toc45533904"/>
    </w:p>
    <w:p>
      <w:pPr>
        <w:pStyle w:val="Ttulo2"/>
        <w:rPr>
          <w:color w:val="006666"/>
          <w:sz w:val="24"/>
          <w:szCs w:val="24"/>
        </w:rPr>
      </w:pPr>
      <w:r>
        <w:rPr>
          <w:color w:val="006666"/>
          <w:sz w:val="24"/>
          <w:szCs w:val="24"/>
        </w:rPr>
      </w:r>
    </w:p>
    <w:p>
      <w:pPr>
        <w:pStyle w:val="Normal"/>
        <w:rPr>
          <w:lang w:eastAsia="pt-BR"/>
        </w:rPr>
      </w:pPr>
      <w:r>
        <w:rPr>
          <w:lang w:eastAsia="pt-BR"/>
        </w:rPr>
      </w:r>
    </w:p>
    <w:p>
      <w:pPr>
        <w:pStyle w:val="Ttulo2"/>
        <w:rPr>
          <w:color w:val="006666"/>
          <w:sz w:val="24"/>
          <w:szCs w:val="24"/>
        </w:rPr>
      </w:pPr>
      <w:r>
        <w:rPr>
          <w:color w:val="006666"/>
          <w:sz w:val="24"/>
          <w:szCs w:val="24"/>
        </w:rPr>
      </w:r>
    </w:p>
    <w:p>
      <w:pPr>
        <w:pStyle w:val="Ttulo2"/>
        <w:rPr>
          <w:color w:val="006666"/>
          <w:sz w:val="24"/>
          <w:szCs w:val="24"/>
        </w:rPr>
      </w:pPr>
      <w:bookmarkStart w:id="550" w:name="_Toc45579783"/>
      <w:bookmarkStart w:id="551" w:name="_Toc45579513"/>
      <w:bookmarkStart w:id="552" w:name="_Toc45573344"/>
      <w:bookmarkStart w:id="553" w:name="_Toc45572879"/>
      <w:bookmarkStart w:id="554" w:name="_Toc45563874"/>
      <w:bookmarkStart w:id="555" w:name="_Toc485391716"/>
      <w:bookmarkStart w:id="556" w:name="_Toc485394126"/>
      <w:bookmarkStart w:id="557" w:name="_Toc485395038"/>
      <w:bookmarkStart w:id="558" w:name="_Toc485637477"/>
      <w:bookmarkStart w:id="559" w:name="_Toc485638386"/>
      <w:bookmarkStart w:id="560" w:name="_Toc516740810"/>
      <w:bookmarkStart w:id="561" w:name="_Toc517110709"/>
      <w:bookmarkStart w:id="562" w:name="_Toc517111681"/>
      <w:bookmarkStart w:id="563" w:name="_Toc517111960"/>
      <w:bookmarkStart w:id="564" w:name="_Toc517188817"/>
      <w:bookmarkStart w:id="565" w:name="_Toc517194151"/>
      <w:bookmarkStart w:id="566" w:name="_Toc518381402"/>
      <w:bookmarkStart w:id="567" w:name="_Toc12119527"/>
      <w:bookmarkStart w:id="568" w:name="_Toc12120542"/>
      <w:bookmarkStart w:id="569" w:name="_Toc12185186"/>
      <w:bookmarkStart w:id="570" w:name="_Toc12204972"/>
      <w:bookmarkStart w:id="571" w:name="_Toc12224860"/>
      <w:bookmarkStart w:id="572" w:name="_Toc12225002"/>
      <w:bookmarkStart w:id="573" w:name="_Toc12225207"/>
      <w:bookmarkStart w:id="574" w:name="_Toc45533904"/>
      <w:bookmarkStart w:id="575" w:name="_Toc78546307"/>
      <w:r>
        <w:rPr>
          <w:color w:val="006666"/>
          <w:sz w:val="24"/>
          <w:szCs w:val="24"/>
        </w:rPr>
        <w:t>3.1 Da Disponibilização e da Aprovação</w:t>
      </w:r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</w:p>
    <w:p>
      <w:pPr>
        <w:pStyle w:val="Default"/>
        <w:spacing w:lineRule="auto" w:line="360"/>
        <w:ind w:firstLine="851"/>
        <w:jc w:val="both"/>
        <w:rPr>
          <w:rFonts w:ascii="Calibri" w:hAnsi="Calibri" w:asciiTheme="minorHAnsi" w:hAnsiTheme="minorHAnsi"/>
          <w:b/>
          <w:b/>
          <w:color w:val="auto"/>
        </w:rPr>
      </w:pPr>
      <w:r>
        <w:rPr>
          <w:rFonts w:asciiTheme="minorHAnsi" w:hAnsiTheme="minorHAnsi"/>
          <w:color w:val="000000" w:themeColor="text1"/>
        </w:rPr>
        <w:t xml:space="preserve">A Reprogramação do Plano de Ação e Orçamento e os critérios utilizados para embasar a reestimativa das receitas, deverão ser formalmente remetidos ao CAU/BR, para o endereço eletrônico </w:t>
      </w:r>
      <w:hyperlink r:id="rId7">
        <w:r>
          <w:rPr>
            <w:rStyle w:val="LinkdaInternet"/>
            <w:rFonts w:asciiTheme="minorHAnsi" w:hAnsiTheme="minorHAnsi"/>
            <w:color w:val="000000" w:themeColor="text1"/>
          </w:rPr>
          <w:t>planejamento@caubr.gov.br</w:t>
        </w:r>
      </w:hyperlink>
      <w:r>
        <w:rPr>
          <w:rFonts w:asciiTheme="minorHAnsi" w:hAnsiTheme="minorHAnsi"/>
          <w:color w:val="000000" w:themeColor="text1"/>
        </w:rPr>
        <w:t xml:space="preserve">, </w:t>
      </w:r>
      <w:r>
        <w:rPr>
          <w:rFonts w:asciiTheme="minorHAnsi" w:hAnsiTheme="minorHAnsi"/>
          <w:b/>
          <w:color w:val="auto"/>
        </w:rPr>
        <w:t xml:space="preserve">até o </w:t>
      </w:r>
      <w:r>
        <w:rPr>
          <w:rFonts w:asciiTheme="minorHAnsi" w:hAnsiTheme="minorHAnsi"/>
          <w:b/>
          <w:color w:val="000000" w:themeColor="text1"/>
        </w:rPr>
        <w:t xml:space="preserve">dia </w:t>
      </w:r>
      <w:r>
        <w:rPr>
          <w:rFonts w:asciiTheme="minorHAnsi" w:hAnsiTheme="minorHAnsi"/>
          <w:b/>
          <w:color w:val="auto"/>
        </w:rPr>
        <w:t>13 de agosto/2021</w:t>
      </w:r>
      <w:r>
        <w:rPr>
          <w:rFonts w:asciiTheme="minorHAnsi" w:hAnsiTheme="minorHAnsi"/>
          <w:b/>
          <w:color w:val="FF0000"/>
        </w:rPr>
        <w:t>.</w:t>
      </w:r>
    </w:p>
    <w:p>
      <w:pPr>
        <w:pStyle w:val="Default"/>
        <w:spacing w:lineRule="auto" w:line="360"/>
        <w:ind w:firstLine="851"/>
        <w:jc w:val="both"/>
        <w:rPr>
          <w:rFonts w:ascii="Calibri" w:hAnsi="Calibri" w:asciiTheme="minorHAnsi" w:hAnsiTheme="minorHAnsi"/>
          <w:color w:val="auto"/>
          <w:highlight w:val="yellow"/>
        </w:rPr>
      </w:pPr>
      <w:r>
        <w:rPr>
          <w:rFonts w:asciiTheme="minorHAnsi" w:hAnsiTheme="minorHAnsi"/>
          <w:color w:val="auto"/>
          <w:highlight w:val="yellow"/>
        </w:rPr>
      </w:r>
    </w:p>
    <w:p>
      <w:pPr>
        <w:pStyle w:val="Ttulo2"/>
        <w:rPr>
          <w:color w:val="006666"/>
          <w:sz w:val="24"/>
          <w:szCs w:val="24"/>
        </w:rPr>
      </w:pPr>
      <w:bookmarkStart w:id="576" w:name="_Toc78546308"/>
      <w:bookmarkStart w:id="577" w:name="_Toc45579784"/>
      <w:bookmarkStart w:id="578" w:name="_Toc45579514"/>
      <w:bookmarkStart w:id="579" w:name="_Toc45573345"/>
      <w:bookmarkStart w:id="580" w:name="_Toc45572880"/>
      <w:bookmarkStart w:id="581" w:name="_Toc45563875"/>
      <w:bookmarkStart w:id="582" w:name="_Toc45533905"/>
      <w:bookmarkStart w:id="583" w:name="_Toc518381403"/>
      <w:bookmarkStart w:id="584" w:name="_Toc517194152"/>
      <w:bookmarkStart w:id="585" w:name="_Toc517188818"/>
      <w:bookmarkStart w:id="586" w:name="_Toc517111961"/>
      <w:bookmarkStart w:id="587" w:name="_Toc517111682"/>
      <w:bookmarkStart w:id="588" w:name="_Toc517110710"/>
      <w:bookmarkStart w:id="589" w:name="_Toc516740811"/>
      <w:bookmarkStart w:id="590" w:name="_Toc485638387"/>
      <w:bookmarkStart w:id="591" w:name="_Toc485637478"/>
      <w:bookmarkStart w:id="592" w:name="_Toc485395039"/>
      <w:bookmarkStart w:id="593" w:name="_Toc485394127"/>
      <w:bookmarkStart w:id="594" w:name="_Toc485391717"/>
      <w:r>
        <w:rPr>
          <w:color w:val="006666"/>
          <w:sz w:val="24"/>
          <w:szCs w:val="24"/>
        </w:rPr>
        <w:t xml:space="preserve">3.2 </w:t>
      </w:r>
      <w:bookmarkStart w:id="595" w:name="_Toc12119528"/>
      <w:bookmarkStart w:id="596" w:name="_Toc12120543"/>
      <w:bookmarkStart w:id="597" w:name="_Toc12185187"/>
      <w:bookmarkStart w:id="598" w:name="_Toc12204973"/>
      <w:bookmarkStart w:id="599" w:name="_Toc12224861"/>
      <w:bookmarkStart w:id="600" w:name="_Toc12225003"/>
      <w:bookmarkStart w:id="601" w:name="_Toc12225208"/>
      <w:r>
        <w:rPr>
          <w:color w:val="006666"/>
          <w:sz w:val="24"/>
          <w:szCs w:val="24"/>
        </w:rPr>
        <w:t>Da Consolidação da Reprogramação do Plano de Ação e Orçamento</w:t>
      </w:r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</w:p>
    <w:p>
      <w:pPr>
        <w:pStyle w:val="Default"/>
        <w:spacing w:lineRule="auto" w:line="360"/>
        <w:ind w:firstLine="851"/>
        <w:jc w:val="both"/>
        <w:rPr>
          <w:rFonts w:ascii="Calibri" w:hAnsi="Calibri"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O CAU/BR elaborará a Reprogramação do Plano de Ação e Orçamento do CAU considerando as propostas de cada CAU/UF e do CAU/BR, apreciadas pela Comissão de Planejamento e Finanças, submetendo à aprovação do Plenário em sua reunião ordinária do mês de </w:t>
      </w:r>
      <w:r>
        <w:rPr>
          <w:rFonts w:asciiTheme="minorHAnsi" w:hAnsiTheme="minorHAnsi"/>
          <w:b/>
          <w:color w:val="auto"/>
        </w:rPr>
        <w:t>setembro/2021.</w:t>
      </w:r>
      <w:r>
        <w:rPr>
          <w:rFonts w:asciiTheme="minorHAnsi" w:hAnsiTheme="minorHAnsi"/>
          <w:color w:val="auto"/>
        </w:rPr>
        <w:t xml:space="preserve"> </w:t>
      </w:r>
    </w:p>
    <w:p>
      <w:pPr>
        <w:pStyle w:val="Default"/>
        <w:spacing w:lineRule="auto" w:line="360"/>
        <w:ind w:firstLine="851"/>
        <w:jc w:val="both"/>
        <w:rPr>
          <w:rFonts w:ascii="Calibri" w:hAnsi="Calibri"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Após a aprovação, o CAU/BR comunicará aos respectivos CAU/UF a reprogramação do Plano de Ação e Orçamento aprovada,</w:t>
      </w:r>
      <w:r>
        <w:rPr>
          <w:rFonts w:asciiTheme="minorHAnsi" w:hAnsiTheme="minorHAnsi"/>
          <w:b/>
          <w:color w:val="auto"/>
        </w:rPr>
        <w:t xml:space="preserve"> até 27 de setembro/21, </w:t>
      </w:r>
      <w:r>
        <w:rPr>
          <w:rFonts w:asciiTheme="minorHAnsi" w:hAnsiTheme="minorHAnsi"/>
          <w:color w:val="auto"/>
        </w:rPr>
        <w:t xml:space="preserve">e fará publicar, no Diário Oficial da União, </w:t>
      </w:r>
      <w:r>
        <w:rPr>
          <w:rFonts w:asciiTheme="minorHAnsi" w:hAnsiTheme="minorHAnsi"/>
          <w:b/>
          <w:color w:val="auto"/>
        </w:rPr>
        <w:t>até 30 de setembro/2021.</w:t>
      </w:r>
    </w:p>
    <w:p>
      <w:pPr>
        <w:pStyle w:val="Normal"/>
        <w:rPr>
          <w:lang w:eastAsia="pt-BR"/>
        </w:rPr>
      </w:pPr>
      <w:r>
        <w:rPr>
          <w:lang w:eastAsia="pt-BR"/>
        </w:rPr>
      </w:r>
    </w:p>
    <w:p>
      <w:pPr>
        <w:pStyle w:val="Normal"/>
        <w:rPr>
          <w:lang w:eastAsia="pt-BR"/>
        </w:rPr>
      </w:pPr>
      <w:r>
        <w:rPr>
          <w:lang w:eastAsia="pt-BR"/>
        </w:rPr>
      </w:r>
    </w:p>
    <w:p>
      <w:pPr>
        <w:pStyle w:val="Normal"/>
        <w:rPr>
          <w:lang w:eastAsia="pt-BR"/>
        </w:rPr>
      </w:pPr>
      <w:r>
        <w:rPr>
          <w:lang w:eastAsia="pt-BR"/>
        </w:rPr>
      </w:r>
    </w:p>
    <w:p>
      <w:pPr>
        <w:pStyle w:val="Normal"/>
        <w:rPr>
          <w:lang w:eastAsia="pt-BR"/>
        </w:rPr>
      </w:pPr>
      <w:r>
        <w:rPr>
          <w:lang w:eastAsia="pt-BR"/>
        </w:rPr>
      </w:r>
    </w:p>
    <w:p>
      <w:pPr>
        <w:pStyle w:val="Normal"/>
        <w:rPr>
          <w:lang w:eastAsia="pt-BR"/>
        </w:rPr>
      </w:pPr>
      <w:r>
        <w:rPr>
          <w:lang w:eastAsia="pt-BR"/>
        </w:rPr>
      </w:r>
      <w:r>
        <w:br w:type="page"/>
      </w:r>
    </w:p>
    <w:p>
      <w:pPr>
        <w:pStyle w:val="Ttulo1"/>
        <w:numPr>
          <w:ilvl w:val="0"/>
          <w:numId w:val="3"/>
        </w:numPr>
        <w:jc w:val="both"/>
        <w:rPr>
          <w:color w:val="006666"/>
          <w:sz w:val="28"/>
          <w:szCs w:val="28"/>
        </w:rPr>
      </w:pPr>
      <w:bookmarkStart w:id="602" w:name="_Toc78546309"/>
      <w:bookmarkStart w:id="603" w:name="_Toc45579785"/>
      <w:bookmarkStart w:id="604" w:name="_Toc45579515"/>
      <w:bookmarkStart w:id="605" w:name="_Toc45573346"/>
      <w:bookmarkStart w:id="606" w:name="_Toc45572881"/>
      <w:bookmarkStart w:id="607" w:name="_Toc45563876"/>
      <w:bookmarkStart w:id="608" w:name="_Toc485391718"/>
      <w:bookmarkStart w:id="609" w:name="_Toc485394128"/>
      <w:bookmarkStart w:id="610" w:name="_Toc485395040"/>
      <w:bookmarkStart w:id="611" w:name="_Toc485637479"/>
      <w:bookmarkStart w:id="612" w:name="_Toc485638388"/>
      <w:bookmarkStart w:id="613" w:name="_Toc516740812"/>
      <w:bookmarkStart w:id="614" w:name="_Toc517110711"/>
      <w:bookmarkStart w:id="615" w:name="_Toc517111683"/>
      <w:bookmarkStart w:id="616" w:name="_Toc517111962"/>
      <w:bookmarkStart w:id="617" w:name="_Toc517188819"/>
      <w:bookmarkStart w:id="618" w:name="_Toc517194153"/>
      <w:bookmarkStart w:id="619" w:name="_Toc518381404"/>
      <w:bookmarkStart w:id="620" w:name="_Toc12119529"/>
      <w:bookmarkStart w:id="621" w:name="_Toc12120544"/>
      <w:bookmarkStart w:id="622" w:name="_Toc12185188"/>
      <w:bookmarkStart w:id="623" w:name="_Toc12204974"/>
      <w:bookmarkStart w:id="624" w:name="_Toc12224862"/>
      <w:bookmarkStart w:id="625" w:name="_Toc12225004"/>
      <w:bookmarkStart w:id="626" w:name="_Toc12225209"/>
      <w:bookmarkStart w:id="627" w:name="_Toc45533906"/>
      <w:r>
        <w:rPr>
          <w:color w:val="006666"/>
          <w:sz w:val="28"/>
          <w:szCs w:val="28"/>
        </w:rPr>
        <w:t>CALENDÁRIO DA REPROGRAMAÇÃO DO PLANO DE AÇÃO E ORÇAMENTO DO CAU – EXERCÍCIO 20</w:t>
      </w:r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r>
        <w:rPr>
          <w:color w:val="006666"/>
          <w:sz w:val="28"/>
          <w:szCs w:val="28"/>
        </w:rPr>
        <w:t>2</w:t>
      </w:r>
      <w:bookmarkEnd w:id="603"/>
      <w:bookmarkEnd w:id="604"/>
      <w:bookmarkEnd w:id="605"/>
      <w:bookmarkEnd w:id="606"/>
      <w:bookmarkEnd w:id="607"/>
      <w:r>
        <w:rPr>
          <w:color w:val="006666"/>
          <w:sz w:val="28"/>
          <w:szCs w:val="28"/>
        </w:rPr>
        <w:t>1</w:t>
      </w:r>
      <w:bookmarkEnd w:id="602"/>
    </w:p>
    <w:p>
      <w:pPr>
        <w:pStyle w:val="Normal"/>
        <w:rPr>
          <w:lang w:eastAsia="pt-BR"/>
        </w:rPr>
      </w:pPr>
      <w:r>
        <w:rPr>
          <w:lang w:eastAsia="pt-BR"/>
        </w:rPr>
      </w:r>
    </w:p>
    <w:tbl>
      <w:tblPr>
        <w:tblStyle w:val="Tabelacomgrade"/>
        <w:tblW w:w="935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083"/>
        <w:gridCol w:w="2267"/>
      </w:tblGrid>
      <w:tr>
        <w:trPr/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006666" w:val="clea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center"/>
              <w:rPr>
                <w:b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eastAsia="" w:cs=""/>
                <w:b/>
                <w:bCs/>
                <w:color w:val="FFFFFF" w:themeColor="background1"/>
                <w:kern w:val="0"/>
                <w:sz w:val="24"/>
                <w:szCs w:val="24"/>
                <w:lang w:val="pt-BR" w:eastAsia="pt-BR" w:bidi="ar-SA"/>
              </w:rPr>
              <w:t>ESPECIFICAÇÃO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006666" w:val="clea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center"/>
              <w:rPr>
                <w:b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eastAsia="" w:cs=""/>
                <w:b/>
                <w:bCs/>
                <w:color w:val="FFFFFF" w:themeColor="background1"/>
                <w:kern w:val="0"/>
                <w:sz w:val="24"/>
                <w:szCs w:val="24"/>
                <w:lang w:val="pt-BR" w:eastAsia="pt-BR" w:bidi="ar-SA"/>
              </w:rPr>
              <w:t>DATA</w:t>
            </w:r>
          </w:p>
        </w:tc>
      </w:tr>
      <w:tr>
        <w:trPr>
          <w:trHeight w:val="20" w:hRule="atLeast"/>
        </w:trPr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both"/>
              <w:rPr>
                <w:rFonts w:ascii="Calibri" w:hAnsi="Calibri" w:cs="Calibri"/>
                <w:kern w:val="2"/>
                <w:sz w:val="28"/>
                <w:szCs w:val="28"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Reunião do CG-FA - Aprovação das regras e saldo a ser utilizado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right"/>
              <w:rPr>
                <w:bCs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18/5/21</w:t>
            </w:r>
          </w:p>
        </w:tc>
      </w:tr>
      <w:tr>
        <w:trPr>
          <w:trHeight w:val="20" w:hRule="atLeast"/>
        </w:trPr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 xml:space="preserve">Extração Dados  para as projeções das Receitas 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right"/>
              <w:rPr>
                <w:bCs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19/5/21</w:t>
            </w:r>
          </w:p>
        </w:tc>
      </w:tr>
      <w:tr>
        <w:trPr>
          <w:trHeight w:val="20" w:hRule="atLeast"/>
        </w:trPr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Elaboração da Minuta das Receitas e envio aos CAU/UF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right"/>
              <w:rPr>
                <w:bCs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20 A 28/05/2021</w:t>
            </w:r>
          </w:p>
        </w:tc>
      </w:tr>
      <w:tr>
        <w:trPr>
          <w:trHeight w:val="20" w:hRule="atLeast"/>
        </w:trPr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Webinário Técnico com os CAU/UF – Minuta das Receitas -  Reprogramação 2021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right"/>
              <w:rPr>
                <w:bCs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31/5/21</w:t>
            </w:r>
          </w:p>
        </w:tc>
      </w:tr>
      <w:tr>
        <w:trPr>
          <w:trHeight w:val="20" w:hRule="atLeast"/>
        </w:trPr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Análise e Aprovação da Minuta pelos CAU/UF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right"/>
              <w:rPr>
                <w:bCs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31/05 a 4/6/2021</w:t>
            </w:r>
          </w:p>
        </w:tc>
      </w:tr>
      <w:tr>
        <w:trPr>
          <w:trHeight w:val="20" w:hRule="atLeast"/>
        </w:trPr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Análise e Consolidação das Diretrizes,com base no orçamento do CSC (9/6)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right"/>
              <w:rPr>
                <w:bCs/>
              </w:rPr>
            </w:pPr>
            <w:r>
              <w:rPr>
                <w:rFonts w:eastAsia="" w:cs="Calibri"/>
                <w:kern w:val="0"/>
                <w:sz w:val="22"/>
                <w:szCs w:val="22"/>
                <w:lang w:val="pt-BR" w:eastAsia="pt-BR" w:bidi="ar-SA"/>
              </w:rPr>
              <w:t>11/6/21</w:t>
            </w:r>
          </w:p>
        </w:tc>
      </w:tr>
      <w:tr>
        <w:trPr>
          <w:trHeight w:val="20" w:hRule="atLeast"/>
        </w:trPr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Reunião do CG - CSC - Aprovação da Reprogramação do CSC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right"/>
              <w:rPr>
                <w:bCs/>
              </w:rPr>
            </w:pPr>
            <w:r>
              <w:rPr>
                <w:rFonts w:eastAsia="" w:cs="Calibri"/>
                <w:kern w:val="0"/>
                <w:sz w:val="22"/>
                <w:szCs w:val="22"/>
                <w:lang w:val="pt-BR" w:eastAsia="pt-BR" w:bidi="ar-SA"/>
              </w:rPr>
              <w:t>9/6/21</w:t>
            </w:r>
          </w:p>
        </w:tc>
      </w:tr>
      <w:tr>
        <w:trPr>
          <w:trHeight w:val="20" w:hRule="atLeast"/>
        </w:trPr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 xml:space="preserve">Análise e Aprovação das Diretrizes pela CPFi 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right"/>
              <w:rPr>
                <w:bCs/>
              </w:rPr>
            </w:pPr>
            <w:r>
              <w:rPr>
                <w:rFonts w:eastAsia="" w:cs="Calibri"/>
                <w:kern w:val="0"/>
                <w:sz w:val="22"/>
                <w:szCs w:val="22"/>
                <w:lang w:val="pt-BR" w:eastAsia="pt-BR" w:bidi="ar-SA"/>
              </w:rPr>
              <w:t>14/6/21</w:t>
            </w:r>
          </w:p>
        </w:tc>
      </w:tr>
      <w:tr>
        <w:trPr>
          <w:trHeight w:val="20" w:hRule="atLeast"/>
        </w:trPr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Análise e Aprovação das Diretrizes pelo Plenário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right"/>
              <w:rPr>
                <w:bCs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29 e 30/07/2021</w:t>
            </w:r>
          </w:p>
        </w:tc>
      </w:tr>
      <w:tr>
        <w:trPr>
          <w:trHeight w:val="20" w:hRule="atLeast"/>
        </w:trPr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Elaboração pelo CAU/UF, Assessoramento do CAU/BR e envio da Proposta de Reprogramação CAU/UF ao CAU/BR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right"/>
              <w:rPr>
                <w:bCs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02 a 13/8/2021</w:t>
            </w:r>
          </w:p>
        </w:tc>
      </w:tr>
      <w:tr>
        <w:trPr>
          <w:trHeight w:val="20" w:hRule="atLeast"/>
        </w:trPr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 xml:space="preserve">Análise das propostas pela GERPLAN e 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right"/>
              <w:rPr>
                <w:bCs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16/8 a 3/9/21</w:t>
            </w:r>
          </w:p>
        </w:tc>
      </w:tr>
      <w:tr>
        <w:trPr>
          <w:trHeight w:val="20" w:hRule="atLeast"/>
        </w:trPr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Consolidação do Plano de Ação do CAU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right"/>
              <w:rPr>
                <w:bCs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6 a 10/9/21</w:t>
            </w:r>
          </w:p>
        </w:tc>
      </w:tr>
      <w:tr>
        <w:trPr>
          <w:trHeight w:val="20" w:hRule="atLeast"/>
        </w:trPr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Análise e aprovação da Reprogramação  2021 pela CPFI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right"/>
              <w:rPr>
                <w:bCs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13 - 15/9/2021</w:t>
            </w:r>
          </w:p>
        </w:tc>
      </w:tr>
      <w:tr>
        <w:trPr>
          <w:trHeight w:val="20" w:hRule="atLeast"/>
        </w:trPr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Análise e aprovação da Reprogramação  2021 pelo Plenário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right"/>
              <w:rPr>
                <w:bCs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23 e 24/09/2021</w:t>
            </w:r>
          </w:p>
        </w:tc>
      </w:tr>
      <w:tr>
        <w:trPr>
          <w:trHeight w:val="20" w:hRule="atLeast"/>
        </w:trPr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Envio do Parecer da Reprogramação 2021 aos CAU/UF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right"/>
              <w:rPr>
                <w:bCs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27/9/21</w:t>
            </w:r>
          </w:p>
        </w:tc>
      </w:tr>
      <w:tr>
        <w:trPr>
          <w:trHeight w:val="20" w:hRule="atLeast"/>
        </w:trPr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Execução do Plano Reprogramado 2021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right"/>
              <w:rPr>
                <w:bCs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1/10 a 31/12/2021</w:t>
            </w:r>
          </w:p>
        </w:tc>
      </w:tr>
      <w:tr>
        <w:trPr>
          <w:trHeight w:val="20" w:hRule="atLeast"/>
        </w:trPr>
        <w:tc>
          <w:tcPr>
            <w:tcW w:w="70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Publicação no Diário Oficial da União</w:t>
            </w:r>
          </w:p>
        </w:tc>
        <w:tc>
          <w:tcPr>
            <w:tcW w:w="22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418" w:leader="none"/>
              </w:tabs>
              <w:spacing w:lineRule="auto" w:line="360" w:before="0" w:after="0"/>
              <w:jc w:val="right"/>
              <w:rPr>
                <w:bCs/>
              </w:rPr>
            </w:pPr>
            <w:r>
              <w:rPr>
                <w:rFonts w:eastAsia="" w:cs="Calibri"/>
                <w:color w:val="000000"/>
                <w:kern w:val="0"/>
                <w:sz w:val="22"/>
                <w:szCs w:val="22"/>
                <w:lang w:val="pt-BR" w:eastAsia="pt-BR" w:bidi="ar-SA"/>
              </w:rPr>
              <w:t>Até 30/9/21</w:t>
            </w:r>
            <w:bookmarkStart w:id="628" w:name="_Hlk45552702"/>
            <w:bookmarkEnd w:id="628"/>
          </w:p>
        </w:tc>
      </w:tr>
    </w:tbl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</w:r>
    </w:p>
    <w:tbl>
      <w:tblPr>
        <w:tblStyle w:val="Tabelacomgrade"/>
        <w:tblpPr w:bottomFromText="0" w:horzAnchor="margin" w:leftFromText="141" w:rightFromText="141" w:tblpX="0" w:tblpY="2041" w:topFromText="0" w:vertAnchor="page"/>
        <w:tblW w:w="893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931"/>
      </w:tblGrid>
      <w:tr>
        <w:trPr>
          <w:trHeight w:val="839" w:hRule="atLeast"/>
        </w:trPr>
        <w:tc>
          <w:tcPr>
            <w:tcW w:w="8931" w:type="dxa"/>
            <w:tcBorders>
              <w:top w:val="nil"/>
              <w:left w:val="nil"/>
              <w:bottom w:val="dotted" w:sz="4" w:space="0" w:color="BFBFBF"/>
              <w:right w:val="nil"/>
            </w:tcBorders>
            <w:vAlign w:val="center"/>
          </w:tcPr>
          <w:p>
            <w:pPr>
              <w:pStyle w:val="Ttulo1"/>
              <w:widowControl/>
              <w:numPr>
                <w:ilvl w:val="0"/>
                <w:numId w:val="3"/>
              </w:numPr>
              <w:spacing w:before="0" w:after="200"/>
              <w:ind w:left="720" w:hanging="720"/>
              <w:contextualSpacing/>
              <w:jc w:val="both"/>
              <w:outlineLvl w:val="0"/>
              <w:rPr>
                <w:color w:val="006666"/>
                <w:sz w:val="28"/>
                <w:szCs w:val="28"/>
              </w:rPr>
            </w:pPr>
            <w:bookmarkStart w:id="629" w:name="_Toc78546310"/>
            <w:bookmarkStart w:id="630" w:name="_Toc45579786"/>
            <w:bookmarkStart w:id="631" w:name="_Toc12225210"/>
            <w:bookmarkStart w:id="632" w:name="_Toc12185099"/>
            <w:bookmarkStart w:id="633" w:name="_Toc12119530"/>
            <w:r>
              <w:rPr>
                <w:color w:val="006666"/>
                <w:kern w:val="0"/>
                <w:sz w:val="28"/>
                <w:szCs w:val="28"/>
                <w:lang w:val="pt-BR" w:bidi="ar-SA"/>
              </w:rPr>
              <w:t>ANEXOS</w:t>
            </w:r>
            <w:bookmarkEnd w:id="629"/>
            <w:bookmarkEnd w:id="630"/>
            <w:bookmarkEnd w:id="631"/>
            <w:bookmarkEnd w:id="632"/>
            <w:bookmarkEnd w:id="633"/>
            <w:r>
              <w:rPr>
                <w:color w:val="006666"/>
                <w:kern w:val="0"/>
                <w:sz w:val="28"/>
                <w:szCs w:val="28"/>
                <w:lang w:val="pt-BR" w:bidi="ar-SA"/>
              </w:rPr>
              <w:t xml:space="preserve"> 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I – CAU– Posição de arquitetos e urbanistas, empresas e RRT – Reprogramação 2021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II – Reestimativa da Receita Total do CAU – Reprogramação Total 2021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III – Comparativo da Receita Total do CAU (100%) – Reprogramação x Programação 2021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III.I – Comparativo da Receita Total do CAU (100%) – Reprogramação x Programação 2021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IV – Reestimativa da Receita dos CAU/UF e CAU/BR – Reprogramação 20201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V – Reestimativa de Anuidades de Pessoa Física – Reprogramação 2021 (Quantitativo)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V.I – Reestimativa de Anuidades de Pessoa Física – Reprogramação do Exercício de 2021 (Valores em R$ 1,00)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VI – Reestimativa de Anuidades de Pessoa Jurídica – Reprogramação 2021– (Quantitativo)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VI.I - Reestimativa de Anuidades de Pessoa Jurídica – Reprogramação do Exercício 2021 – (Valores em R$ 1,00)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VII – Reestimativa da Receita de RRT TOTAL – Reprogramação 2021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VIII – Reestimativa da Receita com Taxas e Multas – Reprogramação 2021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IX – Comparativo da Receita dos CAU/UF (80%) – Reprogramação Total 2021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IX.I – Comparativo da Receita dos CAU/UF (80%) Anuidades e Exercícios anteriores – Reprogramação 2021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X – Fundo de Apoio – Aporte Financeiro (Reprogramação 2021)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X.I – Fundo de Apoio – Exercício 2021 – Destinação dos Recursos por CAU/Básico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XI – Demonstrativo da Participação dos CAU/UF e do CAU/BR nas Despesas do Centro de Serviços Compartilhados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XI.I – Demonstrativo da Participação dos CAU/UF e do CAU/BR nas Despesas do Centro de Serviços Compartilhados (Serviço Telefônico de Teleatendimento)</w:t>
            </w:r>
          </w:p>
          <w:p>
            <w:pPr>
              <w:pStyle w:val="Ttulo4"/>
              <w:widowControl/>
              <w:numPr>
                <w:ilvl w:val="0"/>
                <w:numId w:val="0"/>
              </w:numPr>
              <w:spacing w:lineRule="auto" w:line="240"/>
              <w:jc w:val="both"/>
              <w:outlineLvl w:val="3"/>
              <w:rPr>
                <w:rFonts w:ascii="Calibri" w:hAnsi="Calibri" w:eastAsia="" w:cs="" w:asciiTheme="minorHAnsi" w:cstheme="minorBidi" w:eastAsiaTheme="minorEastAsia" w:hAnsiTheme="minorHAnsi"/>
                <w:i w:val="false"/>
                <w:i w:val="false"/>
                <w:iCs w:val="false"/>
                <w:color w:val="auto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i w:val="false"/>
                <w:iCs w:val="false"/>
                <w:color w:val="auto"/>
                <w:kern w:val="0"/>
                <w:sz w:val="22"/>
                <w:szCs w:val="22"/>
                <w:lang w:val="pt-BR" w:eastAsia="pt-BR" w:bidi="ar-SA"/>
              </w:rPr>
              <w:t>ANEXO XI.II – Demonstrativo  de Encontro de Contas - CSC – TAQ e 0800 – exercício 2021</w:t>
            </w:r>
          </w:p>
          <w:p>
            <w:pPr>
              <w:pStyle w:val="Ttulo4"/>
              <w:widowControl/>
              <w:numPr>
                <w:ilvl w:val="0"/>
                <w:numId w:val="0"/>
              </w:numPr>
              <w:spacing w:lineRule="auto" w:line="240"/>
              <w:jc w:val="both"/>
              <w:outlineLvl w:val="3"/>
              <w:rPr>
                <w:rFonts w:ascii="Calibri" w:hAnsi="Calibri" w:eastAsia="" w:cs="" w:asciiTheme="minorHAnsi" w:cstheme="minorBidi" w:eastAsiaTheme="minorEastAsia" w:hAnsiTheme="minorHAnsi"/>
                <w:i w:val="false"/>
                <w:i w:val="false"/>
                <w:iCs w:val="false"/>
                <w:color w:val="auto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i w:val="false"/>
                <w:iCs w:val="false"/>
                <w:color w:val="auto"/>
                <w:kern w:val="0"/>
                <w:sz w:val="22"/>
                <w:szCs w:val="22"/>
                <w:lang w:val="pt-BR" w:eastAsia="pt-BR" w:bidi="ar-SA"/>
              </w:rPr>
              <w:t>ANEXO XI.III -  Demonstrativo do Centro de Serviços Compartilhados – Demais Serviços Essenciais 2021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XII –Despesas do Centro de Serviços Compartilhados (Serviços por Adesão- SISCAF)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XIII– Ressarcimento de taxas bancárias aos CAU/UF, correspondente a 20% do total previsto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XIV - Indicadores Institucionais e de Resultados</w:t>
            </w:r>
          </w:p>
          <w:p>
            <w:pPr>
              <w:pStyle w:val="Normal"/>
              <w:widowControl/>
              <w:spacing w:lineRule="auto" w:line="240" w:before="120" w:after="0"/>
              <w:jc w:val="both"/>
              <w:rPr>
                <w:rFonts w:ascii="Calibri" w:hAnsi="Calibri" w:eastAsia="" w:cs="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" w:cs=""/>
                <w:kern w:val="0"/>
                <w:sz w:val="22"/>
                <w:szCs w:val="22"/>
                <w:lang w:val="pt-BR" w:eastAsia="pt-BR" w:bidi="ar-SA"/>
              </w:rPr>
              <w:t>ANEXO XV – Modelo para Elaboração da Reprogramação do Plano de Ação e Orçamento – Reprogramação 2021</w:t>
            </w:r>
          </w:p>
        </w:tc>
      </w:tr>
    </w:tbl>
    <w:p>
      <w:pPr>
        <w:pStyle w:val="Normal"/>
        <w:jc w:val="both"/>
        <w:rPr>
          <w:rFonts w:eastAsia="" w:eastAsiaTheme="minorEastAsia"/>
          <w:lang w:eastAsia="pt-BR"/>
        </w:rPr>
      </w:pPr>
      <w:r>
        <w:rPr>
          <w:rFonts w:eastAsia="" w:eastAsiaTheme="minorEastAsia"/>
          <w:lang w:eastAsia="pt-BR"/>
        </w:rPr>
        <mc:AlternateContent>
          <mc:Choice Requires="wps">
            <w:drawing>
              <wp:anchor behindDoc="0" distT="3175" distB="3175" distL="231775" distR="231775" simplePos="0" locked="0" layoutInCell="0" allowOverlap="1" relativeHeight="80" wp14:anchorId="48D6EA64">
                <wp:simplePos x="0" y="0"/>
                <wp:positionH relativeFrom="rightMargin">
                  <wp:posOffset>-4105910</wp:posOffset>
                </wp:positionH>
                <wp:positionV relativeFrom="margin">
                  <wp:posOffset>4006215</wp:posOffset>
                </wp:positionV>
                <wp:extent cx="9119235" cy="825500"/>
                <wp:effectExtent l="13017" t="6033" r="318" b="317"/>
                <wp:wrapSquare wrapText="bothSides"/>
                <wp:docPr id="27" name="Caixa de Texto 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118440" cy="824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algn="r" dir="10800000" dist="18720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ANEXOS</w:t>
                            </w:r>
                          </w:p>
                        </w:txbxContent>
                      </wps:txbx>
                      <wps:bodyPr lIns="228600" rIns="0" tIns="137160" bIns="13716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41" path="m0,0l-2147483645,0l-2147483645,-2147483646l0,-2147483646xe" fillcolor="white" stroked="f" style="position:absolute;margin-left:-323.3pt;margin-top:315.45pt;width:717.95pt;height:64.9pt;mso-wrap-style:square;v-text-anchor:top;rotation:270;mso-position-horizontal-relative:page;mso-position-vertical-relative:margin" wp14:anchorId="48D6EA64">
                <v:fill o:detectmouseclick="t" type="solid" color2="black"/>
                <v:stroke color="#3465a4" weight="6480" joinstyle="round" endcap="flat"/>
                <v:shadow on="t" obscured="f" color="#f2f2f2"/>
                <v:textbox>
                  <w:txbxContent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3175" distB="3175" distL="231775" distR="231775" simplePos="0" locked="0" layoutInCell="0" allowOverlap="1" relativeHeight="91" wp14:anchorId="08D54B64">
                <wp:simplePos x="0" y="0"/>
                <wp:positionH relativeFrom="margin">
                  <wp:posOffset>1932305</wp:posOffset>
                </wp:positionH>
                <wp:positionV relativeFrom="margin">
                  <wp:posOffset>3545840</wp:posOffset>
                </wp:positionV>
                <wp:extent cx="8588375" cy="1160145"/>
                <wp:effectExtent l="18415" t="635" r="3175" b="3175"/>
                <wp:wrapSquare wrapText="bothSides"/>
                <wp:docPr id="29" name="Caixa de Texto 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587800" cy="115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algn="r" dir="10800000" dist="18720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cstheme="majorBidi" w:eastAsiaTheme="majorEastAsia" w:ascii="Bookman Old Style" w:hAnsi="Bookman Old Style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</w:t>
                            </w:r>
                          </w:p>
                        </w:txbxContent>
                      </wps:txbx>
                      <wps:bodyPr lIns="228600" rIns="0" tIns="137160" bIns="13716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41" path="m0,0l-2147483645,0l-2147483645,-2147483646l0,-2147483646xe" fillcolor="white" stroked="f" style="position:absolute;margin-left:152.2pt;margin-top:279.2pt;width:676.15pt;height:91.25pt;mso-wrap-style:square;v-text-anchor:top;rotation:270;mso-position-horizontal-relative:margin;mso-position-vertical-relative:margin" wp14:anchorId="08D54B64">
                <v:fill o:detectmouseclick="t" type="solid" color2="black"/>
                <v:stroke color="#3465a4" weight="6480" joinstyle="round" endcap="flat"/>
                <v:shadow on="t" obscured="f" color="#f2f2f2"/>
                <v:textbox>
                  <w:txbxContent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cstheme="majorBidi" w:eastAsiaTheme="majorEastAsia" w:ascii="Bookman Old Style" w:hAnsi="Bookman Old Style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4"/>
        <w:jc w:val="both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  <w:t>ANEXO I - CAU/UF – Posição de Arquitetos e Urbanistas, Empresas e RRT – Reprogramação 2021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headerReference w:type="default" r:id="rId8"/>
          <w:headerReference w:type="first" r:id="rId9"/>
          <w:footerReference w:type="default" r:id="rId10"/>
          <w:footerReference w:type="first" r:id="rId11"/>
          <w:footnotePr>
            <w:numFmt w:val="decimal"/>
          </w:footnotePr>
          <w:type w:val="nextPage"/>
          <w:pgSz w:w="11906" w:h="16838"/>
          <w:pgMar w:left="1418" w:right="1418" w:header="397" w:top="1418" w:footer="157" w:bottom="1418" w:gutter="0"/>
          <w:pgNumType w:start="0" w:fmt="decimal"/>
          <w:formProt w:val="false"/>
          <w:titlePg/>
          <w:textDirection w:val="lrTb"/>
          <w:docGrid w:type="default" w:linePitch="360" w:charSpace="4096"/>
        </w:sectPr>
        <w:pStyle w:val="Normal"/>
        <w:rPr/>
      </w:pPr>
      <w:r>
        <w:rPr/>
      </w:r>
    </w:p>
    <w:p>
      <w:pPr>
        <w:pStyle w:val="Ttulo3"/>
        <w:ind w:left="720" w:right="253" w:hanging="1146"/>
        <w:rPr/>
      </w:pPr>
      <w:bookmarkStart w:id="634" w:name="_Toc78546311"/>
      <w:bookmarkStart w:id="635" w:name="_Toc45579787"/>
      <w:bookmarkStart w:id="636" w:name="_Toc45572834"/>
      <w:bookmarkStart w:id="637" w:name="_Toc45563827"/>
      <w:bookmarkStart w:id="638" w:name="_Toc12225211"/>
      <w:bookmarkStart w:id="639" w:name="_Toc12185100"/>
      <w:bookmarkStart w:id="640" w:name="_Toc12119776"/>
      <w:bookmarkStart w:id="641" w:name="_Toc12119632"/>
      <w:bookmarkStart w:id="642" w:name="_Toc517188767"/>
      <w:bookmarkStart w:id="643" w:name="_Toc517112011"/>
      <w:bookmarkStart w:id="644" w:name="_Toc516748150"/>
      <w:bookmarkStart w:id="645" w:name="_Toc516747760"/>
      <w:bookmarkStart w:id="646" w:name="_Toc516740132"/>
      <w:bookmarkStart w:id="647" w:name="_Toc485637257"/>
      <w:bookmarkStart w:id="648" w:name="_Toc485396234"/>
      <w:bookmarkStart w:id="649" w:name="_Toc485394004"/>
      <w:bookmarkStart w:id="650" w:name="_Toc485391720"/>
      <w:r>
        <w:rPr/>
        <w:t>ANEXO I – CAU– Posição de arquitetos e urbanistas, empresas e RRT – Reprogramação 20</w:t>
      </w:r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r>
        <w:rPr/>
        <w:t>2</w:t>
      </w:r>
      <w:bookmarkEnd w:id="635"/>
      <w:bookmarkEnd w:id="636"/>
      <w:bookmarkEnd w:id="637"/>
      <w:r>
        <w:rPr/>
        <w:t>1</w:t>
      </w:r>
      <w:bookmarkEnd w:id="634"/>
    </w:p>
    <w:p>
      <w:pPr>
        <w:pStyle w:val="Normal"/>
        <w:ind w:hanging="426"/>
        <w:rPr>
          <w:rFonts w:ascii="Calibri" w:hAnsi="Calibri" w:eastAsia="Times New Roman" w:cs="Times New Roman"/>
          <w:color w:val="000000"/>
          <w:sz w:val="16"/>
          <w:lang w:eastAsia="pt-BR"/>
        </w:rPr>
      </w:pPr>
      <w:r>
        <w:rPr/>
        <w:drawing>
          <wp:inline distT="0" distB="0" distL="0" distR="0">
            <wp:extent cx="9583420" cy="4168775"/>
            <wp:effectExtent l="0" t="0" r="0" b="0"/>
            <wp:docPr id="33" name="Imagem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42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426"/>
        <w:rPr>
          <w:rFonts w:ascii="Calibri" w:hAnsi="Calibri" w:eastAsia="Times New Roman" w:cs="Times New Roman"/>
          <w:color w:val="000000"/>
          <w:sz w:val="16"/>
          <w:lang w:eastAsia="pt-BR"/>
        </w:rPr>
      </w:pPr>
      <w:r>
        <w:rPr>
          <w:rFonts w:eastAsia="Times New Roman" w:cs="Times New Roman"/>
          <w:color w:val="000000"/>
          <w:sz w:val="16"/>
          <w:lang w:eastAsia="pt-BR"/>
        </w:rPr>
        <w:t>Fonte da execução: IGEO até 19/05/2021.</w:t>
      </w:r>
    </w:p>
    <w:p>
      <w:pPr>
        <w:sectPr>
          <w:headerReference w:type="default" r:id="rId13"/>
          <w:footerReference w:type="default" r:id="rId14"/>
          <w:footnotePr>
            <w:numFmt w:val="decimal"/>
          </w:footnotePr>
          <w:type w:val="nextPage"/>
          <w:pgSz w:orient="landscape" w:w="16838" w:h="11906"/>
          <w:pgMar w:left="1418" w:right="1418" w:header="426" w:top="1418" w:footer="157" w:bottom="993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ind w:hanging="426"/>
        <w:rPr>
          <w:rFonts w:ascii="Calibri" w:hAnsi="Calibri" w:eastAsia="Times New Roman" w:cs="Times New Roman"/>
          <w:color w:val="000000"/>
          <w:sz w:val="16"/>
          <w:lang w:eastAsia="pt-BR"/>
        </w:rPr>
      </w:pPr>
      <w:r>
        <w:rPr>
          <w:rFonts w:eastAsia="Times New Roman" w:cs="Times New Roman"/>
          <w:color w:val="000000"/>
          <w:sz w:val="16"/>
          <w:lang w:eastAsia="pt-BR"/>
        </w:rPr>
        <w:t>Programação 2021: Valores aprovados nos Planos de Ação da Programação 2021</w:t>
      </w:r>
    </w:p>
    <w:p>
      <w:pPr>
        <w:pStyle w:val="Normal"/>
        <w:tabs>
          <w:tab w:val="clear" w:pos="708"/>
          <w:tab w:val="left" w:pos="751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4"/>
        <w:jc w:val="both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mc:AlternateContent>
          <mc:Choice Requires="wps">
            <w:drawing>
              <wp:anchor behindDoc="0" distT="3175" distB="3175" distL="231775" distR="231775" simplePos="0" locked="0" layoutInCell="0" allowOverlap="1" relativeHeight="81" wp14:anchorId="7D2E1E94">
                <wp:simplePos x="0" y="0"/>
                <wp:positionH relativeFrom="rightMargin">
                  <wp:posOffset>-3910330</wp:posOffset>
                </wp:positionH>
                <wp:positionV relativeFrom="margin">
                  <wp:posOffset>3466465</wp:posOffset>
                </wp:positionV>
                <wp:extent cx="8588375" cy="943610"/>
                <wp:effectExtent l="12382" t="6668" r="0" b="0"/>
                <wp:wrapSquare wrapText="bothSides"/>
                <wp:docPr id="35" name="Caixa de Texto 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587800" cy="942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algn="r" dir="10800000" dist="18720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cstheme="majorBidi" w:eastAsiaTheme="majorEastAsia" w:ascii="Bookman Old Style" w:hAnsi="Bookman Old Style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</w:t>
                            </w:r>
                          </w:p>
                        </w:txbxContent>
                      </wps:txbx>
                      <wps:bodyPr lIns="228600" rIns="0" tIns="137160" bIns="13716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41" path="m0,0l-2147483645,0l-2147483645,-2147483646l0,-2147483646xe" fillcolor="white" stroked="f" style="position:absolute;margin-left:-307.9pt;margin-top:272.95pt;width:676.15pt;height:74.2pt;mso-wrap-style:square;v-text-anchor:top;rotation:270;mso-position-horizontal-relative:page;mso-position-vertical-relative:margin" wp14:anchorId="7D2E1E94">
                <v:fill o:detectmouseclick="t" type="solid" color2="black"/>
                <v:stroke color="#3465a4" weight="6480" joinstyle="round" endcap="flat"/>
                <v:shadow on="t" obscured="f" color="#f2f2f2"/>
                <v:textbox>
                  <w:txbxContent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cstheme="majorBidi" w:eastAsiaTheme="majorEastAsia" w:ascii="Bookman Old Style" w:hAnsi="Bookman Old Style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b/>
          <w:sz w:val="36"/>
          <w:szCs w:val="36"/>
        </w:rPr>
        <w:t xml:space="preserve"> </w:t>
      </w:r>
      <w:r>
        <w:rPr>
          <w:rFonts w:eastAsia="Arial Unicode MS"/>
          <w:b/>
          <w:i w:val="false"/>
          <w:color w:val="006666"/>
          <w:sz w:val="44"/>
        </w:rPr>
        <w:t>ANEXO II - Reestimativa da Receita Total do CAU – Reprogramação 2021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headerReference w:type="default" r:id="rId15"/>
          <w:footerReference w:type="default" r:id="rId16"/>
          <w:footnotePr>
            <w:numFmt w:val="decimal"/>
          </w:footnotePr>
          <w:type w:val="nextPage"/>
          <w:pgSz w:w="11906" w:h="16838"/>
          <w:pgMar w:left="1418" w:right="1418" w:header="709" w:top="1418" w:footer="397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rPr/>
      </w:pPr>
      <w:r>
        <w:rPr/>
      </w:r>
    </w:p>
    <w:p>
      <w:pPr>
        <w:pStyle w:val="Ttulo3"/>
        <w:ind w:left="720" w:right="253" w:hanging="720"/>
        <w:rPr/>
      </w:pPr>
      <w:bookmarkStart w:id="651" w:name="_Toc78546312"/>
      <w:bookmarkStart w:id="652" w:name="_Toc45579788"/>
      <w:bookmarkStart w:id="653" w:name="_Toc45572835"/>
      <w:bookmarkStart w:id="654" w:name="_Toc45563828"/>
      <w:bookmarkStart w:id="655" w:name="_Toc12225212"/>
      <w:bookmarkStart w:id="656" w:name="_Toc12185101"/>
      <w:bookmarkStart w:id="657" w:name="_Toc12119777"/>
      <w:bookmarkStart w:id="658" w:name="_Toc12119633"/>
      <w:bookmarkStart w:id="659" w:name="_Toc517188768"/>
      <w:bookmarkStart w:id="660" w:name="_Toc517112012"/>
      <w:bookmarkStart w:id="661" w:name="_Toc516748151"/>
      <w:bookmarkStart w:id="662" w:name="_Toc516747761"/>
      <w:bookmarkStart w:id="663" w:name="_Toc516740133"/>
      <w:bookmarkStart w:id="664" w:name="_Toc485637258"/>
      <w:bookmarkStart w:id="665" w:name="_Toc485396235"/>
      <w:bookmarkStart w:id="666" w:name="_Toc485394005"/>
      <w:bookmarkStart w:id="667" w:name="_Toc485391721"/>
      <w:r>
        <w:rPr/>
        <w:t xml:space="preserve">ANEXO II – Reestimativa da Receita Total do CAU – Reprogramação Total </w:t>
      </w:r>
      <w:bookmarkEnd w:id="664"/>
      <w:bookmarkEnd w:id="665"/>
      <w:bookmarkEnd w:id="666"/>
      <w:bookmarkEnd w:id="667"/>
      <w:r>
        <w:rPr/>
        <w:t>20</w:t>
      </w:r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r>
        <w:rPr/>
        <w:t>2</w:t>
      </w:r>
      <w:bookmarkEnd w:id="652"/>
      <w:bookmarkEnd w:id="653"/>
      <w:bookmarkEnd w:id="654"/>
      <w:r>
        <w:rPr/>
        <w:t>1</w:t>
      </w:r>
      <w:bookmarkEnd w:id="651"/>
    </w:p>
    <w:p>
      <w:pPr>
        <w:pStyle w:val="Normal"/>
        <w:rPr/>
      </w:pPr>
      <w:r>
        <w:rPr/>
        <w:drawing>
          <wp:inline distT="0" distB="0" distL="0" distR="0">
            <wp:extent cx="5759450" cy="5500370"/>
            <wp:effectExtent l="0" t="0" r="0" b="0"/>
            <wp:docPr id="38" name="Imagem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5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headerReference w:type="default" r:id="rId18"/>
          <w:footerReference w:type="default" r:id="rId19"/>
          <w:footnotePr>
            <w:numFmt w:val="decimal"/>
          </w:footnotePr>
          <w:type w:val="nextPage"/>
          <w:pgSz w:w="11906" w:h="16838"/>
          <w:pgMar w:left="1418" w:right="1418" w:header="709" w:top="1418" w:footer="397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tabs>
          <w:tab w:val="clear" w:pos="708"/>
          <w:tab w:val="left" w:pos="0" w:leader="none"/>
          <w:tab w:val="left" w:pos="1418" w:leader="none"/>
        </w:tabs>
        <w:spacing w:lineRule="auto" w:line="360" w:before="0" w:after="0"/>
        <w:ind w:right="253" w:hanging="0"/>
        <w:rPr>
          <w:rFonts w:cs="Calibri" w:cstheme="minorHAnsi"/>
          <w:bCs/>
          <w:sz w:val="40"/>
          <w:szCs w:val="40"/>
        </w:rPr>
      </w:pPr>
      <w:r>
        <w:rPr>
          <w:rFonts w:eastAsia="Times New Roman" w:cs="Calibri"/>
          <w:b/>
          <w:color w:val="000000" w:themeColor="text1"/>
          <w:sz w:val="20"/>
          <w:szCs w:val="20"/>
        </w:rPr>
        <w:t xml:space="preserve"> </w:t>
      </w:r>
    </w:p>
    <w:p>
      <w:pPr>
        <w:pStyle w:val="Normal"/>
        <w:tabs>
          <w:tab w:val="clear" w:pos="708"/>
          <w:tab w:val="left" w:pos="5460" w:leader="none"/>
        </w:tabs>
        <w:rPr/>
      </w:pPr>
      <w:r>
        <w:rPr/>
        <mc:AlternateContent>
          <mc:Choice Requires="wps">
            <w:drawing>
              <wp:anchor behindDoc="0" distT="3175" distB="3175" distL="231775" distR="231775" simplePos="0" locked="0" layoutInCell="0" allowOverlap="1" relativeHeight="82" wp14:anchorId="1217E018">
                <wp:simplePos x="0" y="0"/>
                <wp:positionH relativeFrom="rightMargin">
                  <wp:posOffset>-3991610</wp:posOffset>
                </wp:positionH>
                <wp:positionV relativeFrom="margin">
                  <wp:posOffset>3906520</wp:posOffset>
                </wp:positionV>
                <wp:extent cx="8588375" cy="825500"/>
                <wp:effectExtent l="14287" t="4763" r="0" b="0"/>
                <wp:wrapSquare wrapText="bothSides"/>
                <wp:docPr id="40" name="Caixa de Texto 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587800" cy="824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algn="r" dir="10800000" dist="18720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III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cstheme="majorBidi" w:eastAsiaTheme="majorEastAsia" w:ascii="Bookman Old Style" w:hAnsi="Bookman Old Style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III</w:t>
                            </w:r>
                          </w:p>
                        </w:txbxContent>
                      </wps:txbx>
                      <wps:bodyPr lIns="228600" rIns="0" tIns="137160" bIns="13716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41" path="m0,0l-2147483645,0l-2147483645,-2147483646l0,-2147483646xe" fillcolor="white" stroked="f" style="position:absolute;margin-left:-314.3pt;margin-top:307.6pt;width:676.15pt;height:64.9pt;mso-wrap-style:square;v-text-anchor:top;rotation:270;mso-position-horizontal-relative:page;mso-position-vertical-relative:margin" wp14:anchorId="1217E018">
                <v:fill o:detectmouseclick="t" type="solid" color2="black"/>
                <v:stroke color="#3465a4" weight="6480" joinstyle="round" endcap="flat"/>
                <v:shadow on="t" obscured="f" color="#f2f2f2"/>
                <v:textbox>
                  <w:txbxContent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III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cstheme="majorBidi" w:eastAsiaTheme="majorEastAsia" w:ascii="Bookman Old Style" w:hAnsi="Bookman Old Style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III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4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  <w:t>ANEXO III - Comparativo da Receita Total do CAU – Reprogramação x Programação 2021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5115" w:leader="none"/>
        </w:tabs>
        <w:rPr/>
      </w:pPr>
      <w:r>
        <w:rPr/>
        <w:tab/>
      </w:r>
    </w:p>
    <w:p>
      <w:pPr>
        <w:sectPr>
          <w:headerReference w:type="default" r:id="rId20"/>
          <w:footerReference w:type="default" r:id="rId21"/>
          <w:footnotePr>
            <w:numFmt w:val="decimal"/>
          </w:footnotePr>
          <w:type w:val="nextPage"/>
          <w:pgSz w:w="11906" w:h="16838"/>
          <w:pgMar w:left="1418" w:right="1418" w:header="709" w:top="1418" w:footer="153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tabs>
          <w:tab w:val="clear" w:pos="708"/>
          <w:tab w:val="left" w:pos="5115" w:leader="none"/>
        </w:tabs>
        <w:rPr/>
      </w:pPr>
      <w:r>
        <w:rPr/>
      </w:r>
    </w:p>
    <w:p>
      <w:pPr>
        <w:pStyle w:val="Ttulo3"/>
        <w:ind w:left="720" w:right="253" w:hanging="862"/>
        <w:rPr/>
      </w:pPr>
      <w:bookmarkStart w:id="668" w:name="_Toc78546313"/>
      <w:bookmarkStart w:id="669" w:name="_Toc45579789"/>
      <w:bookmarkStart w:id="670" w:name="_Toc45572836"/>
      <w:bookmarkStart w:id="671" w:name="_Toc45563829"/>
      <w:bookmarkStart w:id="672" w:name="_Toc12225213"/>
      <w:bookmarkStart w:id="673" w:name="_Toc12185102"/>
      <w:bookmarkStart w:id="674" w:name="_Toc12119778"/>
      <w:bookmarkStart w:id="675" w:name="_Toc12119634"/>
      <w:bookmarkStart w:id="676" w:name="_Toc517188769"/>
      <w:bookmarkStart w:id="677" w:name="_Toc517112013"/>
      <w:bookmarkStart w:id="678" w:name="_Toc517110603"/>
      <w:bookmarkStart w:id="679" w:name="_Toc516748152"/>
      <w:bookmarkStart w:id="680" w:name="_Toc516747762"/>
      <w:bookmarkStart w:id="681" w:name="_Toc516740134"/>
      <w:bookmarkStart w:id="682" w:name="_Toc485637259"/>
      <w:bookmarkStart w:id="683" w:name="_Toc485396236"/>
      <w:bookmarkStart w:id="684" w:name="_Toc485394006"/>
      <w:bookmarkStart w:id="685" w:name="_Toc485391722"/>
      <w:r>
        <w:rPr/>
        <w:t>ANEXO III – Comparativo da Receita Total do CAU (100%) – Reprogramação x Programação 20</w:t>
      </w:r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r>
        <w:rPr/>
        <w:t>2</w:t>
      </w:r>
      <w:bookmarkEnd w:id="669"/>
      <w:bookmarkEnd w:id="670"/>
      <w:bookmarkEnd w:id="671"/>
      <w:r>
        <w:rPr/>
        <w:t>1</w:t>
      </w:r>
      <w:bookmarkEnd w:id="668"/>
      <w:r>
        <w:rPr/>
        <w:tab/>
      </w:r>
    </w:p>
    <w:p>
      <w:pPr>
        <w:pStyle w:val="NoSpacing"/>
        <w:ind w:left="-284" w:hanging="0"/>
        <w:rPr/>
      </w:pPr>
      <w:bookmarkStart w:id="686" w:name="_Toc485391724"/>
      <w:r>
        <w:rPr/>
        <w:drawing>
          <wp:inline distT="0" distB="0" distL="0" distR="0">
            <wp:extent cx="9573895" cy="4657725"/>
            <wp:effectExtent l="0" t="0" r="0" b="0"/>
            <wp:docPr id="43" name="Imagem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17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89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ind w:left="-284" w:hanging="0"/>
        <w:rPr/>
      </w:pPr>
      <w:r>
        <w:rPr/>
      </w:r>
    </w:p>
    <w:p>
      <w:pPr>
        <w:pStyle w:val="NoSpacing"/>
        <w:ind w:left="-284" w:hanging="0"/>
        <w:rPr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Fonte da execução: IGEO até 19/05/2021. </w:t>
      </w:r>
    </w:p>
    <w:p>
      <w:pPr>
        <w:pStyle w:val="NoSpacing"/>
        <w:ind w:left="142" w:hanging="426"/>
        <w:rPr>
          <w:sz w:val="16"/>
          <w:szCs w:val="16"/>
        </w:rPr>
      </w:pPr>
      <w:r>
        <w:rPr>
          <w:rFonts w:eastAsia="Times New Roman"/>
          <w:sz w:val="16"/>
          <w:szCs w:val="16"/>
        </w:rPr>
        <w:t>Programação 2021: Valores aprovados nos Planos de Ação da Programação 2021.</w:t>
      </w:r>
      <w:r>
        <w:rPr>
          <w:sz w:val="16"/>
          <w:szCs w:val="16"/>
        </w:rPr>
        <w:t xml:space="preserve"> </w:t>
      </w:r>
      <w:bookmarkStart w:id="687" w:name="_Toc12225214"/>
      <w:bookmarkStart w:id="688" w:name="_Toc12185103"/>
      <w:bookmarkStart w:id="689" w:name="_Toc12119779"/>
      <w:bookmarkStart w:id="690" w:name="_Toc12119635"/>
      <w:bookmarkStart w:id="691" w:name="_Toc517188770"/>
      <w:bookmarkStart w:id="692" w:name="_Toc517112014"/>
    </w:p>
    <w:p>
      <w:pPr>
        <w:pStyle w:val="Normal"/>
        <w:rPr>
          <w:rFonts w:eastAsia="" w:eastAsiaTheme="minorEastAsia"/>
          <w:sz w:val="16"/>
          <w:szCs w:val="16"/>
          <w:lang w:eastAsia="pt-BR"/>
        </w:rPr>
      </w:pPr>
      <w:r>
        <w:rPr>
          <w:rFonts w:eastAsia="" w:eastAsiaTheme="minorEastAsia"/>
          <w:sz w:val="16"/>
          <w:szCs w:val="16"/>
          <w:lang w:eastAsia="pt-BR"/>
        </w:rPr>
      </w:r>
      <w:r>
        <w:br w:type="page"/>
      </w:r>
    </w:p>
    <w:p>
      <w:pPr>
        <w:pStyle w:val="NoSpacing"/>
        <w:ind w:left="142" w:hanging="42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Ttulo3"/>
        <w:ind w:left="720" w:right="253" w:hanging="720"/>
        <w:rPr/>
      </w:pPr>
      <w:bookmarkStart w:id="693" w:name="_Toc45563830"/>
      <w:bookmarkStart w:id="694" w:name="_Toc78546314"/>
      <w:bookmarkStart w:id="695" w:name="_Toc45579790"/>
      <w:bookmarkStart w:id="696" w:name="_Toc45572837"/>
      <w:r>
        <w:rPr/>
        <w:t>ANEXO III.I – Comparativo da Receita Total do CAU (100%) – Reprogramação x Programação 2020</w:t>
      </w:r>
      <w:bookmarkEnd w:id="694"/>
      <w:bookmarkEnd w:id="695"/>
      <w:bookmarkEnd w:id="696"/>
      <w:r>
        <w:rPr/>
        <w:t xml:space="preserve"> </w:t>
      </w:r>
      <w:bookmarkStart w:id="697" w:name="_Toc517110604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7"/>
    </w:p>
    <w:p>
      <w:pPr>
        <w:pStyle w:val="NoSpacing"/>
        <w:ind w:left="-284" w:hanging="0"/>
        <w:rPr/>
      </w:pPr>
      <w:r>
        <w:rPr/>
        <w:drawing>
          <wp:inline distT="0" distB="0" distL="0" distR="0">
            <wp:extent cx="9553575" cy="4122420"/>
            <wp:effectExtent l="0" t="0" r="0" b="0"/>
            <wp:docPr id="44" name="Imagem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23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ind w:left="-284" w:hanging="0"/>
        <w:rPr/>
      </w:pPr>
      <w:r>
        <w:rPr/>
      </w:r>
    </w:p>
    <w:p>
      <w:pPr>
        <w:pStyle w:val="NoSpacing"/>
        <w:ind w:left="-284" w:hanging="0"/>
        <w:rPr>
          <w:sz w:val="16"/>
          <w:szCs w:val="16"/>
        </w:rPr>
      </w:pPr>
      <w:r>
        <w:rPr>
          <w:sz w:val="16"/>
          <w:szCs w:val="16"/>
        </w:rPr>
        <w:t xml:space="preserve">Fonte da execução: IGEO até 19/05/2021. </w:t>
      </w:r>
    </w:p>
    <w:p>
      <w:pPr>
        <w:sectPr>
          <w:headerReference w:type="default" r:id="rId24"/>
          <w:footerReference w:type="default" r:id="rId25"/>
          <w:footnotePr>
            <w:numFmt w:val="decimal"/>
          </w:footnotePr>
          <w:type w:val="nextPage"/>
          <w:pgSz w:orient="landscape" w:w="16838" w:h="11906"/>
          <w:pgMar w:left="1276" w:right="1418" w:header="426" w:top="1418" w:footer="158" w:bottom="851" w:gutter="0"/>
          <w:pgNumType w:fmt="decimal"/>
          <w:formProt w:val="false"/>
          <w:titlePg/>
          <w:textDirection w:val="lrTb"/>
          <w:docGrid w:type="default" w:linePitch="360" w:charSpace="4096"/>
        </w:sectPr>
        <w:pStyle w:val="NoSpacing"/>
        <w:ind w:left="-142" w:hanging="142"/>
        <w:rPr>
          <w:sz w:val="16"/>
          <w:szCs w:val="16"/>
        </w:rPr>
      </w:pPr>
      <w:r>
        <w:rPr>
          <w:sz w:val="16"/>
          <w:szCs w:val="16"/>
        </w:rPr>
        <w:t xml:space="preserve">Programação 2021: Valores aprovados nos Planos de Ação da Programação 2021. </w:t>
      </w:r>
    </w:p>
    <w:p>
      <w:pPr>
        <w:pStyle w:val="Normal"/>
        <w:tabs>
          <w:tab w:val="clear" w:pos="708"/>
          <w:tab w:val="left" w:pos="511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4"/>
        <w:jc w:val="both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  <w:t>ANEXO IV - Reestimativa da Receita dos CAU/UF e CAU/BR – Reprogramação 2021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3175" distB="3175" distL="231775" distR="231775" simplePos="0" locked="0" layoutInCell="0" allowOverlap="1" relativeHeight="83" wp14:anchorId="6F340545">
                <wp:simplePos x="0" y="0"/>
                <wp:positionH relativeFrom="rightMargin">
                  <wp:posOffset>-4328795</wp:posOffset>
                </wp:positionH>
                <wp:positionV relativeFrom="margin">
                  <wp:posOffset>4013200</wp:posOffset>
                </wp:positionV>
                <wp:extent cx="8588375" cy="825500"/>
                <wp:effectExtent l="14287" t="4763" r="0" b="0"/>
                <wp:wrapSquare wrapText="bothSides"/>
                <wp:docPr id="46" name="Caixa de Texto 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587800" cy="824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algn="r" dir="10800000" dist="18720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IV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cstheme="majorBidi" w:eastAsiaTheme="majorEastAsia" w:ascii="Bookman Old Style" w:hAnsi="Bookman Old Style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IV</w:t>
                            </w:r>
                          </w:p>
                        </w:txbxContent>
                      </wps:txbx>
                      <wps:bodyPr lIns="228600" rIns="0" tIns="137160" bIns="13716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41" path="m0,0l-2147483645,0l-2147483645,-2147483646l0,-2147483646xe" fillcolor="white" stroked="f" style="position:absolute;margin-left:-340.85pt;margin-top:316pt;width:676.15pt;height:64.9pt;mso-wrap-style:square;v-text-anchor:top;rotation:270;mso-position-horizontal-relative:page;mso-position-vertical-relative:margin" wp14:anchorId="6F340545">
                <v:fill o:detectmouseclick="t" type="solid" color2="black"/>
                <v:stroke color="#3465a4" weight="6480" joinstyle="round" endcap="flat"/>
                <v:shadow on="t" obscured="f" color="#f2f2f2"/>
                <v:textbox>
                  <w:txbxContent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IV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cstheme="majorBidi" w:eastAsiaTheme="majorEastAsia" w:ascii="Bookman Old Style" w:hAnsi="Bookman Old Style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IV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ListParagraph"/>
        <w:tabs>
          <w:tab w:val="clear" w:pos="708"/>
          <w:tab w:val="left" w:pos="1418" w:leader="none"/>
        </w:tabs>
        <w:spacing w:lineRule="auto" w:line="360" w:before="0" w:after="0"/>
        <w:ind w:left="-567" w:hanging="0"/>
        <w:contextualSpacing/>
        <w:jc w:val="both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>
          <w:rFonts w:eastAsia="Times New Roman" w:cs="Calibri"/>
          <w:b/>
          <w:color w:val="000000" w:themeColor="text1"/>
          <w:sz w:val="20"/>
          <w:szCs w:val="20"/>
        </w:rPr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>
          <w:rFonts w:eastAsia="Times New Roman" w:cs="Calibri"/>
          <w:b/>
          <w:color w:val="000000" w:themeColor="text1"/>
          <w:sz w:val="20"/>
          <w:szCs w:val="20"/>
        </w:rPr>
      </w:r>
      <w:bookmarkStart w:id="698" w:name="_Toc485637260"/>
      <w:bookmarkStart w:id="699" w:name="_Toc485396237"/>
      <w:bookmarkStart w:id="700" w:name="_Toc485394009"/>
      <w:bookmarkStart w:id="701" w:name="_Toc485391727"/>
      <w:bookmarkStart w:id="702" w:name="_Toc485637260"/>
      <w:bookmarkStart w:id="703" w:name="_Toc485396237"/>
      <w:bookmarkStart w:id="704" w:name="_Toc485394009"/>
      <w:bookmarkStart w:id="705" w:name="_Toc485391727"/>
      <w:r>
        <w:br w:type="page"/>
      </w:r>
    </w:p>
    <w:p>
      <w:pPr>
        <w:pStyle w:val="Ttulo3"/>
        <w:ind w:left="720" w:right="253" w:hanging="720"/>
        <w:rPr/>
      </w:pPr>
      <w:bookmarkStart w:id="706" w:name="_Toc485637260"/>
      <w:bookmarkStart w:id="707" w:name="_Toc485396237"/>
      <w:bookmarkStart w:id="708" w:name="_Toc485394009"/>
      <w:bookmarkStart w:id="709" w:name="_Toc485391727"/>
      <w:bookmarkStart w:id="710" w:name="_Toc78546315"/>
      <w:bookmarkStart w:id="711" w:name="_Toc45579791"/>
      <w:bookmarkStart w:id="712" w:name="_Toc45572838"/>
      <w:bookmarkStart w:id="713" w:name="_Toc45563831"/>
      <w:bookmarkStart w:id="714" w:name="_Toc12225216"/>
      <w:bookmarkStart w:id="715" w:name="_Toc12185105"/>
      <w:bookmarkStart w:id="716" w:name="_Toc12119781"/>
      <w:bookmarkStart w:id="717" w:name="_Toc12119637"/>
      <w:bookmarkStart w:id="718" w:name="_Toc517188771"/>
      <w:bookmarkStart w:id="719" w:name="_Toc517112015"/>
      <w:bookmarkStart w:id="720" w:name="_Toc516748153"/>
      <w:bookmarkStart w:id="721" w:name="_Toc516747763"/>
      <w:bookmarkStart w:id="722" w:name="_Toc516740135"/>
      <w:r>
        <w:rPr/>
        <w:t>ANEXO IV – Reestimativa da Receita dos CAU/UF e CAU/BR – Reprogramação 20</w:t>
      </w:r>
      <w:bookmarkEnd w:id="706"/>
      <w:bookmarkEnd w:id="707"/>
      <w:bookmarkEnd w:id="708"/>
      <w:bookmarkEnd w:id="709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r>
        <w:rPr/>
        <w:t>21</w:t>
      </w:r>
      <w:bookmarkEnd w:id="710"/>
      <w:bookmarkEnd w:id="711"/>
      <w:bookmarkEnd w:id="712"/>
      <w:bookmarkEnd w:id="713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59450" cy="5252720"/>
            <wp:effectExtent l="0" t="0" r="0" b="0"/>
            <wp:docPr id="48" name="Imagem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38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tabs>
          <w:tab w:val="clear" w:pos="708"/>
          <w:tab w:val="left" w:pos="1418" w:leader="none"/>
        </w:tabs>
        <w:spacing w:lineRule="auto" w:line="360" w:before="0" w:after="0"/>
        <w:ind w:left="-567" w:right="-569" w:hanging="0"/>
        <w:contextualSpacing/>
        <w:jc w:val="center"/>
        <w:rPr>
          <w:rFonts w:ascii="Calibri" w:hAnsi="Calibri" w:eastAsia="Times New Roman" w:cs="Calibri"/>
          <w:b/>
          <w:b/>
          <w:color w:val="1F3864" w:themeColor="accent5" w:themeShade="80"/>
          <w:sz w:val="20"/>
          <w:szCs w:val="20"/>
        </w:rPr>
      </w:pPr>
      <w:r>
        <w:rPr>
          <w:rFonts w:eastAsia="Times New Roman" w:cs="Calibri"/>
          <w:b/>
          <w:color w:val="1F3864" w:themeColor="accent5" w:themeShade="80"/>
          <w:sz w:val="20"/>
          <w:szCs w:val="20"/>
        </w:rPr>
      </w:r>
    </w:p>
    <w:p>
      <w:pPr>
        <w:pStyle w:val="ListParagraph"/>
        <w:tabs>
          <w:tab w:val="clear" w:pos="708"/>
          <w:tab w:val="left" w:pos="1418" w:leader="none"/>
        </w:tabs>
        <w:spacing w:lineRule="auto" w:line="360"/>
        <w:ind w:left="0" w:hanging="0"/>
        <w:jc w:val="both"/>
        <w:rPr>
          <w:rFonts w:cs="Calibri" w:cstheme="minorHAnsi"/>
          <w:b/>
          <w:b/>
          <w:bCs/>
          <w:sz w:val="38"/>
          <w:szCs w:val="38"/>
        </w:rPr>
      </w:pPr>
      <w:r>
        <w:rPr>
          <w:rFonts w:cs="Calibri" w:cstheme="minorHAnsi"/>
          <w:b/>
          <w:bCs/>
          <w:sz w:val="38"/>
          <w:szCs w:val="38"/>
        </w:rPr>
      </w:r>
    </w:p>
    <w:p>
      <w:pPr>
        <w:pStyle w:val="Normal"/>
        <w:ind w:hanging="851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3285" w:leader="none"/>
        </w:tabs>
        <w:rPr/>
      </w:pPr>
      <w:r>
        <w:rPr/>
        <w:tab/>
      </w:r>
    </w:p>
    <w:p>
      <w:pPr>
        <w:pStyle w:val="Normal"/>
        <w:tabs>
          <w:tab w:val="clear" w:pos="708"/>
          <w:tab w:val="left" w:pos="328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28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28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4"/>
        <w:jc w:val="both"/>
        <w:rPr/>
      </w:pPr>
      <w:r>
        <mc:AlternateContent>
          <mc:Choice Requires="wps">
            <w:drawing>
              <wp:anchor behindDoc="0" distT="3175" distB="3175" distL="231775" distR="231775" simplePos="0" locked="0" layoutInCell="0" allowOverlap="1" relativeHeight="84" wp14:anchorId="1D6570B9">
                <wp:simplePos x="0" y="0"/>
                <wp:positionH relativeFrom="rightMargin">
                  <wp:posOffset>-4262755</wp:posOffset>
                </wp:positionH>
                <wp:positionV relativeFrom="margin">
                  <wp:posOffset>3509010</wp:posOffset>
                </wp:positionV>
                <wp:extent cx="8588375" cy="825500"/>
                <wp:effectExtent l="14287" t="4763" r="0" b="0"/>
                <wp:wrapSquare wrapText="bothSides"/>
                <wp:docPr id="49" name="Caixa de Texto 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587800" cy="824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algn="r" dir="10800000" dist="18720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cstheme="majorBidi" w:eastAsiaTheme="majorEastAsia" w:ascii="Bookman Old Style" w:hAnsi="Bookman Old Style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</w:t>
                            </w:r>
                          </w:p>
                        </w:txbxContent>
                      </wps:txbx>
                      <wps:bodyPr lIns="228600" rIns="0" tIns="137160" bIns="13716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41" path="m0,0l-2147483645,0l-2147483645,-2147483646l0,-2147483646xe" fillcolor="white" stroked="f" style="position:absolute;margin-left:-335.65pt;margin-top:276.3pt;width:676.15pt;height:64.9pt;mso-wrap-style:square;v-text-anchor:top;rotation:270;mso-position-horizontal-relative:page;mso-position-vertical-relative:margin" wp14:anchorId="1D6570B9">
                <v:fill o:detectmouseclick="t" type="solid" color2="black"/>
                <v:stroke color="#3465a4" weight="6480" joinstyle="round" endcap="flat"/>
                <v:shadow on="t" obscured="f" color="#f2f2f2"/>
                <v:textbox>
                  <w:txbxContent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cstheme="majorBidi" w:eastAsiaTheme="majorEastAsia" w:ascii="Bookman Old Style" w:hAnsi="Bookman Old Style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eastAsia="Arial Unicode MS"/>
          <w:b/>
          <w:i w:val="false"/>
          <w:color w:val="006666"/>
          <w:sz w:val="44"/>
        </w:rPr>
        <w:t>ANEXO V - Reestimativa da Receita de Anuidades de Pessoa Física – Reprogramação 2021 (Quantitativo e Valores)</w:t>
      </w:r>
      <w:r>
        <w:rPr>
          <w:b/>
          <w:sz w:val="36"/>
          <w:szCs w:val="36"/>
        </w:rPr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headerReference w:type="default" r:id="rId27"/>
          <w:footerReference w:type="default" r:id="rId28"/>
          <w:footnotePr>
            <w:numFmt w:val="decimal"/>
          </w:footnotePr>
          <w:type w:val="nextPage"/>
          <w:pgSz w:w="11906" w:h="16838"/>
          <w:pgMar w:left="1418" w:right="1418" w:header="709" w:top="1843" w:footer="153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tabs>
          <w:tab w:val="clear" w:pos="708"/>
          <w:tab w:val="left" w:pos="4725" w:leader="none"/>
        </w:tabs>
        <w:rPr/>
      </w:pPr>
      <w:r>
        <w:rPr/>
        <w:tab/>
      </w:r>
    </w:p>
    <w:p>
      <w:pPr>
        <w:pStyle w:val="Ttulo3"/>
        <w:ind w:left="-142" w:right="253" w:firstLine="142"/>
        <w:rPr/>
      </w:pPr>
      <w:bookmarkStart w:id="723" w:name="_Toc12185106"/>
      <w:bookmarkStart w:id="724" w:name="_Toc12119782"/>
      <w:bookmarkStart w:id="725" w:name="_Toc12119638"/>
      <w:bookmarkStart w:id="726" w:name="_Toc78546316"/>
      <w:bookmarkStart w:id="727" w:name="_Toc45579792"/>
      <w:bookmarkStart w:id="728" w:name="_Toc45572839"/>
      <w:bookmarkStart w:id="729" w:name="_Toc45563832"/>
      <w:bookmarkStart w:id="730" w:name="_Toc12225217"/>
      <w:bookmarkStart w:id="731" w:name="_Toc517188772"/>
      <w:bookmarkStart w:id="732" w:name="_Toc517112016"/>
      <w:bookmarkStart w:id="733" w:name="_Toc516748154"/>
      <w:bookmarkStart w:id="734" w:name="_Toc516747764"/>
      <w:bookmarkStart w:id="735" w:name="_Toc516740136"/>
      <w:bookmarkStart w:id="736" w:name="_Toc485637261"/>
      <w:bookmarkStart w:id="737" w:name="_Toc485396238"/>
      <w:bookmarkStart w:id="738" w:name="_Toc485394010"/>
      <w:bookmarkStart w:id="739" w:name="_Toc485391728"/>
      <w:r>
        <w:rPr/>
        <w:t>ANEXO V – Reestimativa de Anuidades de Pessoa Física – Reprogramação 2021 (Quantitativo)</w:t>
      </w:r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r>
        <w:rPr/>
        <w:t xml:space="preserve"> </w:t>
      </w:r>
      <w:bookmarkEnd w:id="723"/>
      <w:bookmarkEnd w:id="724"/>
      <w:bookmarkEnd w:id="725"/>
    </w:p>
    <w:p>
      <w:pPr>
        <w:pStyle w:val="NoSpacing"/>
        <w:rPr>
          <w:rFonts w:eastAsia="Times New Roman"/>
          <w:sz w:val="16"/>
          <w:szCs w:val="16"/>
        </w:rPr>
      </w:pPr>
      <w:r>
        <w:rPr/>
        <w:drawing>
          <wp:inline distT="0" distB="0" distL="0" distR="0">
            <wp:extent cx="9201785" cy="4305300"/>
            <wp:effectExtent l="0" t="0" r="0" b="0"/>
            <wp:docPr id="52" name="Imagem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3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78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</w:r>
    </w:p>
    <w:p>
      <w:pPr>
        <w:pStyle w:val="NoSpacing"/>
        <w:rPr>
          <w:rStyle w:val="Ttulo3Char"/>
          <w:rFonts w:eastAsia="" w:eastAsiaTheme="minorEastAsia"/>
          <w:b w:val="false"/>
          <w:b w:val="false"/>
          <w:color w:val="000000" w:themeColor="text1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Fonte da execução: IGEO até 19/05/2021. </w:t>
      </w:r>
    </w:p>
    <w:p>
      <w:pPr>
        <w:pStyle w:val="Ttulo3"/>
        <w:ind w:left="-142" w:right="253" w:hanging="284"/>
        <w:rPr>
          <w:lang w:eastAsia="pt-BR"/>
        </w:rPr>
      </w:pPr>
      <w:r>
        <w:rPr>
          <w:lang w:eastAsia="pt-BR"/>
        </w:rPr>
      </w:r>
      <w:bookmarkStart w:id="740" w:name="_Toc45579793"/>
      <w:bookmarkStart w:id="741" w:name="_Toc45572840"/>
      <w:bookmarkStart w:id="742" w:name="_Toc45563833"/>
      <w:bookmarkStart w:id="743" w:name="_Toc12225218"/>
      <w:bookmarkStart w:id="744" w:name="_Toc12185107"/>
      <w:bookmarkStart w:id="745" w:name="_Toc12119783"/>
      <w:bookmarkStart w:id="746" w:name="_Toc12119639"/>
      <w:bookmarkStart w:id="747" w:name="_Toc517188773"/>
      <w:bookmarkStart w:id="748" w:name="_Toc517112017"/>
      <w:bookmarkStart w:id="749" w:name="_Toc516748155"/>
      <w:bookmarkStart w:id="750" w:name="_Toc516747765"/>
      <w:bookmarkStart w:id="751" w:name="_Toc516740137"/>
      <w:bookmarkStart w:id="752" w:name="_Toc485637262"/>
      <w:bookmarkStart w:id="753" w:name="_Toc485396239"/>
      <w:bookmarkStart w:id="754" w:name="_Toc485394011"/>
      <w:bookmarkStart w:id="755" w:name="_Toc485391729"/>
      <w:bookmarkStart w:id="756" w:name="_Toc45579793"/>
      <w:bookmarkStart w:id="757" w:name="_Toc45572840"/>
      <w:bookmarkStart w:id="758" w:name="_Toc45563833"/>
      <w:bookmarkStart w:id="759" w:name="_Toc12225218"/>
      <w:bookmarkStart w:id="760" w:name="_Toc12185107"/>
      <w:bookmarkStart w:id="761" w:name="_Toc12119783"/>
      <w:bookmarkStart w:id="762" w:name="_Toc12119639"/>
      <w:bookmarkStart w:id="763" w:name="_Toc517188773"/>
      <w:bookmarkStart w:id="764" w:name="_Toc517112017"/>
      <w:bookmarkStart w:id="765" w:name="_Toc516748155"/>
      <w:bookmarkStart w:id="766" w:name="_Toc516747765"/>
      <w:bookmarkStart w:id="767" w:name="_Toc516740137"/>
      <w:bookmarkStart w:id="768" w:name="_Toc485637262"/>
      <w:bookmarkStart w:id="769" w:name="_Toc485396239"/>
      <w:bookmarkStart w:id="770" w:name="_Toc485394011"/>
      <w:bookmarkStart w:id="771" w:name="_Toc485391729"/>
    </w:p>
    <w:p>
      <w:pPr>
        <w:pStyle w:val="Ttulo3"/>
        <w:ind w:left="-142" w:right="253" w:hanging="284"/>
        <w:rPr>
          <w:lang w:eastAsia="pt-BR"/>
        </w:rPr>
      </w:pPr>
      <w:r>
        <w:rPr>
          <w:lang w:eastAsia="pt-BR"/>
        </w:rPr>
      </w:r>
    </w:p>
    <w:p>
      <w:pPr>
        <w:pStyle w:val="Ttulo3"/>
        <w:ind w:left="-142" w:right="253" w:firstLine="142"/>
        <w:rPr/>
      </w:pPr>
      <w:bookmarkStart w:id="772" w:name="_Toc45579793"/>
      <w:bookmarkStart w:id="773" w:name="_Toc45572840"/>
      <w:bookmarkStart w:id="774" w:name="_Toc45563833"/>
      <w:bookmarkStart w:id="775" w:name="_Toc12225218"/>
      <w:bookmarkStart w:id="776" w:name="_Toc12185107"/>
      <w:bookmarkStart w:id="777" w:name="_Toc12119783"/>
      <w:bookmarkStart w:id="778" w:name="_Toc12119639"/>
      <w:bookmarkStart w:id="779" w:name="_Toc517188773"/>
      <w:bookmarkStart w:id="780" w:name="_Toc517112017"/>
      <w:bookmarkStart w:id="781" w:name="_Toc516748155"/>
      <w:bookmarkStart w:id="782" w:name="_Toc516747765"/>
      <w:bookmarkStart w:id="783" w:name="_Toc516740137"/>
      <w:bookmarkStart w:id="784" w:name="_Toc485637262"/>
      <w:bookmarkStart w:id="785" w:name="_Toc485396239"/>
      <w:bookmarkStart w:id="786" w:name="_Toc485394011"/>
      <w:bookmarkStart w:id="787" w:name="_Toc485391729"/>
      <w:bookmarkStart w:id="788" w:name="_Toc78546317"/>
      <w:r>
        <w:rPr/>
        <w:t>ANEXO V.I – Reestimativa de Anuidades de Pessoa Física – Reprogramação 2021 (Valores em R$ 1,00)</w:t>
      </w:r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r>
        <w:rPr/>
        <w:t xml:space="preserve"> </w:t>
      </w:r>
    </w:p>
    <w:p>
      <w:pPr>
        <w:pStyle w:val="Normal"/>
        <w:rPr/>
      </w:pPr>
      <w:r>
        <w:rPr/>
        <w:drawing>
          <wp:inline distT="0" distB="0" distL="0" distR="0">
            <wp:extent cx="9172575" cy="4503420"/>
            <wp:effectExtent l="0" t="0" r="0" b="0"/>
            <wp:docPr id="53" name="Imagem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hanging="42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  <w:t xml:space="preserve">Fonte da execução: IGEO até 19/05/2021. </w:t>
      </w:r>
    </w:p>
    <w:p>
      <w:pPr>
        <w:pStyle w:val="Normal"/>
        <w:spacing w:lineRule="auto" w:line="240" w:before="0" w:after="0"/>
        <w:rPr>
          <w:rFonts w:ascii="Calibri" w:hAnsi="Calibri" w:cs="Calibri"/>
          <w:color w:val="006666"/>
          <w:sz w:val="18"/>
          <w:szCs w:val="18"/>
        </w:rPr>
      </w:pPr>
      <w:r>
        <w:rPr>
          <w:sz w:val="16"/>
          <w:szCs w:val="16"/>
        </w:rPr>
        <w:t xml:space="preserve">Programação 2021: Valores aprovados nos Planos de Ação da Programação 2021. </w:t>
      </w:r>
    </w:p>
    <w:p>
      <w:pPr>
        <w:sectPr>
          <w:headerReference w:type="default" r:id="rId31"/>
          <w:footerReference w:type="default" r:id="rId32"/>
          <w:footnotePr>
            <w:numFmt w:val="decimal"/>
          </w:footnotePr>
          <w:type w:val="nextPage"/>
          <w:pgSz w:orient="landscape" w:w="16838" w:h="11906"/>
          <w:pgMar w:left="1418" w:right="1418" w:header="709" w:top="1418" w:footer="153" w:bottom="993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right="-315" w:hanging="0"/>
        <w:rPr/>
      </w:pPr>
      <w:r>
        <w:rPr/>
      </w:r>
    </w:p>
    <w:p>
      <w:pPr>
        <w:pStyle w:val="Normal"/>
        <w:tabs>
          <w:tab w:val="clear" w:pos="708"/>
          <w:tab w:val="left" w:pos="47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4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mc:AlternateContent>
          <mc:Choice Requires="wps">
            <w:drawing>
              <wp:anchor behindDoc="0" distT="3175" distB="3175" distL="231775" distR="231775" simplePos="0" locked="0" layoutInCell="0" allowOverlap="1" relativeHeight="85" wp14:anchorId="0ECCEEE7">
                <wp:simplePos x="0" y="0"/>
                <wp:positionH relativeFrom="rightMargin">
                  <wp:posOffset>-3820160</wp:posOffset>
                </wp:positionH>
                <wp:positionV relativeFrom="margin">
                  <wp:posOffset>3506470</wp:posOffset>
                </wp:positionV>
                <wp:extent cx="8588375" cy="825500"/>
                <wp:effectExtent l="14287" t="4763" r="0" b="0"/>
                <wp:wrapSquare wrapText="bothSides"/>
                <wp:docPr id="55" name="Caixa de Texto 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587800" cy="824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algn="r" dir="10800000" dist="18720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cstheme="majorBidi" w:eastAsiaTheme="majorEastAsia" w:ascii="Bookman Old Style" w:hAnsi="Bookman Old Style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</w:t>
                            </w:r>
                          </w:p>
                        </w:txbxContent>
                      </wps:txbx>
                      <wps:bodyPr lIns="228600" rIns="0" tIns="137160" bIns="13716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41" path="m0,0l-2147483645,0l-2147483645,-2147483646l0,-2147483646xe" fillcolor="white" stroked="f" style="position:absolute;margin-left:-300.8pt;margin-top:276.1pt;width:676.15pt;height:64.9pt;mso-wrap-style:square;v-text-anchor:top;rotation:270;mso-position-horizontal-relative:page;mso-position-vertical-relative:margin" wp14:anchorId="0ECCEEE7">
                <v:fill o:detectmouseclick="t" type="solid" color2="black"/>
                <v:stroke color="#3465a4" weight="6480" joinstyle="round" endcap="flat"/>
                <v:shadow on="t" obscured="f" color="#f2f2f2"/>
                <v:textbox>
                  <w:txbxContent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cstheme="majorBidi" w:eastAsiaTheme="majorEastAsia" w:ascii="Bookman Old Style" w:hAnsi="Bookman Old Style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eastAsia="Arial Unicode MS"/>
          <w:b/>
          <w:i w:val="false"/>
          <w:color w:val="006666"/>
          <w:sz w:val="44"/>
        </w:rPr>
        <w:t>ANEXO VI - Reestimativa da Receita de Anuidades de Pessoa Jurídica – Reprogramação 2021 (Quantitativo e Valores)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headerReference w:type="default" r:id="rId33"/>
          <w:footerReference w:type="default" r:id="rId34"/>
          <w:footnotePr>
            <w:numFmt w:val="decimal"/>
          </w:footnotePr>
          <w:type w:val="nextPage"/>
          <w:pgSz w:w="11906" w:h="16838"/>
          <w:pgMar w:left="1418" w:right="1418" w:header="709" w:top="1418" w:footer="153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rPr/>
      </w:pPr>
      <w:r>
        <w:rPr/>
      </w:r>
    </w:p>
    <w:p>
      <w:pPr>
        <w:pStyle w:val="Ttulo3"/>
        <w:ind w:left="720" w:right="253" w:hanging="720"/>
        <w:rPr/>
      </w:pPr>
      <w:bookmarkStart w:id="789" w:name="_Toc78546318"/>
      <w:bookmarkStart w:id="790" w:name="_Toc45579794"/>
      <w:bookmarkStart w:id="791" w:name="_Toc45572841"/>
      <w:bookmarkStart w:id="792" w:name="_Toc45563834"/>
      <w:bookmarkStart w:id="793" w:name="_Toc12225220"/>
      <w:bookmarkStart w:id="794" w:name="_Toc12185109"/>
      <w:bookmarkStart w:id="795" w:name="_Toc12119785"/>
      <w:bookmarkStart w:id="796" w:name="_Toc12119641"/>
      <w:bookmarkStart w:id="797" w:name="_Toc517188775"/>
      <w:bookmarkStart w:id="798" w:name="_Toc517112018"/>
      <w:bookmarkStart w:id="799" w:name="_Toc516748156"/>
      <w:bookmarkStart w:id="800" w:name="_Toc516747766"/>
      <w:bookmarkStart w:id="801" w:name="_Toc516740138"/>
      <w:bookmarkStart w:id="802" w:name="_Toc485637263"/>
      <w:bookmarkStart w:id="803" w:name="_Toc485396240"/>
      <w:bookmarkStart w:id="804" w:name="_Toc485394012"/>
      <w:bookmarkStart w:id="805" w:name="_Toc485391730"/>
      <w:r>
        <w:rPr/>
        <w:t>ANEXO VI – Reestimativa de Anuidades de Pessoa Jurídica – Reprogramação 2021– (Quantitativo)</w:t>
      </w:r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</w:p>
    <w:p>
      <w:pPr>
        <w:pStyle w:val="NoSpacing"/>
        <w:jc w:val="both"/>
        <w:rPr>
          <w:rFonts w:eastAsia="Times New Roman"/>
          <w:sz w:val="16"/>
          <w:szCs w:val="16"/>
        </w:rPr>
      </w:pPr>
      <w:r>
        <w:rPr/>
        <w:drawing>
          <wp:inline distT="0" distB="0" distL="0" distR="0">
            <wp:extent cx="9199880" cy="4218940"/>
            <wp:effectExtent l="0" t="0" r="0" b="0"/>
            <wp:docPr id="58" name="Imagem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9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88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</w:r>
    </w:p>
    <w:p>
      <w:pPr>
        <w:pStyle w:val="Normal"/>
        <w:spacing w:lineRule="auto" w:line="240" w:before="0" w:after="0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Fonte da execução: IGEO até 19/05/2021. </w:t>
      </w:r>
      <w:bookmarkStart w:id="806" w:name="_Toc485637264"/>
      <w:bookmarkStart w:id="807" w:name="_Toc485396241"/>
      <w:bookmarkStart w:id="808" w:name="_Toc485394013"/>
      <w:bookmarkStart w:id="809" w:name="_Toc485391731"/>
    </w:p>
    <w:p>
      <w:pPr>
        <w:sectPr>
          <w:headerReference w:type="default" r:id="rId36"/>
          <w:footerReference w:type="default" r:id="rId37"/>
          <w:footnotePr>
            <w:numFmt w:val="decimal"/>
          </w:footnotePr>
          <w:type w:val="nextPage"/>
          <w:pgSz w:orient="landscape" w:w="16838" w:h="11906"/>
          <w:pgMar w:left="1418" w:right="1418" w:header="709" w:top="1418" w:footer="153" w:bottom="993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rPr>
          <w:rFonts w:ascii="Calibri" w:hAnsi="Calibri" w:cs="Calibri"/>
          <w:color w:val="006666"/>
          <w:sz w:val="18"/>
          <w:szCs w:val="18"/>
        </w:rPr>
      </w:pPr>
      <w:r>
        <w:rPr>
          <w:sz w:val="16"/>
          <w:szCs w:val="16"/>
        </w:rPr>
        <w:t xml:space="preserve">Programação 2021: Valores aprovados nos Planos de Ação da Programação 2021. </w:t>
      </w:r>
    </w:p>
    <w:p>
      <w:pPr>
        <w:pStyle w:val="Ttulo3"/>
        <w:ind w:left="720" w:right="253" w:hanging="720"/>
        <w:rPr/>
      </w:pPr>
      <w:bookmarkStart w:id="810" w:name="_Toc78546319"/>
      <w:bookmarkStart w:id="811" w:name="_Toc45579795"/>
      <w:bookmarkStart w:id="812" w:name="_Toc45572842"/>
      <w:bookmarkStart w:id="813" w:name="_Toc45563835"/>
      <w:bookmarkStart w:id="814" w:name="_Toc12225221"/>
      <w:bookmarkStart w:id="815" w:name="_Toc12185110"/>
      <w:bookmarkStart w:id="816" w:name="_Toc12119786"/>
      <w:bookmarkStart w:id="817" w:name="_Toc12119642"/>
      <w:bookmarkStart w:id="818" w:name="_Toc517188776"/>
      <w:bookmarkStart w:id="819" w:name="_Toc517112019"/>
      <w:bookmarkStart w:id="820" w:name="_Toc516748157"/>
      <w:bookmarkStart w:id="821" w:name="_Toc516747767"/>
      <w:bookmarkStart w:id="822" w:name="_Toc516740139"/>
      <w:r>
        <w:rPr/>
        <w:t>ANEXO VI.I - Reestimativa de Anuidades de Pessoa Jurídica – Reprogramação do Exercício 2021 – (Valores em R$ 1,00)</w:t>
      </w:r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</w:p>
    <w:p>
      <w:pPr>
        <w:pStyle w:val="NoSpacing"/>
        <w:jc w:val="both"/>
        <w:rPr/>
      </w:pPr>
      <w:bookmarkStart w:id="823" w:name="_Toc12185111"/>
      <w:bookmarkStart w:id="824" w:name="_Toc12119787"/>
      <w:bookmarkStart w:id="825" w:name="_Toc12119643"/>
      <w:bookmarkStart w:id="826" w:name="_Toc517188777"/>
      <w:bookmarkEnd w:id="823"/>
      <w:bookmarkEnd w:id="824"/>
      <w:bookmarkEnd w:id="825"/>
      <w:bookmarkEnd w:id="826"/>
      <w:r>
        <w:rPr/>
        <w:drawing>
          <wp:inline distT="0" distB="0" distL="0" distR="0">
            <wp:extent cx="8906510" cy="4779010"/>
            <wp:effectExtent l="0" t="0" r="0" b="0"/>
            <wp:docPr id="60" name="Imagem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m 42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Fonte da execução: IGEO até 19/05/2021. </w:t>
      </w:r>
    </w:p>
    <w:p>
      <w:pPr>
        <w:pStyle w:val="NoSpacing"/>
        <w:jc w:val="both"/>
        <w:rPr>
          <w:sz w:val="16"/>
          <w:szCs w:val="16"/>
        </w:rPr>
      </w:pPr>
      <w:r>
        <w:rPr>
          <w:rFonts w:eastAsia="Times New Roman"/>
          <w:sz w:val="16"/>
          <w:szCs w:val="16"/>
        </w:rPr>
        <w:t>Programação 2021: Valores aprovados no Plano de Ação da Programação 2021.</w:t>
      </w:r>
      <w:r>
        <w:rPr>
          <w:sz w:val="16"/>
          <w:szCs w:val="16"/>
        </w:rPr>
        <w:t xml:space="preserve">  </w:t>
      </w:r>
    </w:p>
    <w:p>
      <w:pPr>
        <w:pStyle w:val="Ttulo3"/>
        <w:ind w:left="720" w:right="253" w:hanging="720"/>
        <w:rPr/>
      </w:pPr>
      <w:bookmarkStart w:id="827" w:name="_Toc12185111"/>
      <w:bookmarkStart w:id="828" w:name="_Toc12119787"/>
      <w:bookmarkStart w:id="829" w:name="_Toc12119643"/>
      <w:bookmarkStart w:id="830" w:name="_Toc517188777"/>
      <w:bookmarkStart w:id="831" w:name="_Toc78546320"/>
      <w:bookmarkEnd w:id="827"/>
      <w:bookmarkEnd w:id="828"/>
      <w:bookmarkEnd w:id="829"/>
      <w:bookmarkEnd w:id="830"/>
      <w:r>
        <w:rPr/>
        <w:t>ANEXO VI.II - Reestimativa de Anuidades de Pessoa Jurídica – Reprogramação do Exercício 2021 – (Valores em R$ 1,00)</w:t>
      </w:r>
      <w:bookmarkEnd w:id="831"/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  <w:drawing>
          <wp:inline distT="0" distB="0" distL="0" distR="0">
            <wp:extent cx="9093835" cy="3480435"/>
            <wp:effectExtent l="0" t="0" r="0" b="0"/>
            <wp:docPr id="61" name="Imagem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m 52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83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Fonte da execução: IGEO até 19/05/2021. </w:t>
      </w:r>
    </w:p>
    <w:p>
      <w:pPr>
        <w:sectPr>
          <w:headerReference w:type="default" r:id="rId40"/>
          <w:footerReference w:type="default" r:id="rId41"/>
          <w:footnotePr>
            <w:numFmt w:val="decimal"/>
          </w:footnotePr>
          <w:type w:val="nextPage"/>
          <w:pgSz w:orient="landscape" w:w="16838" w:h="11906"/>
          <w:pgMar w:left="1418" w:right="1670" w:header="709" w:top="1418" w:footer="153" w:bottom="851" w:gutter="0"/>
          <w:pgNumType w:fmt="decimal"/>
          <w:formProt w:val="false"/>
          <w:textDirection w:val="lrTb"/>
          <w:docGrid w:type="default" w:linePitch="360" w:charSpace="4096"/>
        </w:sectPr>
        <w:pStyle w:val="NoSpacing"/>
        <w:jc w:val="both"/>
        <w:rPr>
          <w:sz w:val="16"/>
          <w:szCs w:val="16"/>
        </w:rPr>
      </w:pPr>
      <w:r>
        <w:rPr>
          <w:rFonts w:eastAsia="Times New Roman"/>
          <w:sz w:val="16"/>
          <w:szCs w:val="16"/>
        </w:rPr>
        <w:t>Programação 2021: Valores aprovados no Plano de Ação da Programação 2021.</w:t>
      </w:r>
      <w:r>
        <w:rPr>
          <w:sz w:val="16"/>
          <w:szCs w:val="16"/>
        </w:rPr>
        <w:t xml:space="preserve">  </w:t>
      </w:r>
    </w:p>
    <w:p>
      <w:pPr>
        <w:pStyle w:val="Normal"/>
        <w:tabs>
          <w:tab w:val="clear" w:pos="708"/>
          <w:tab w:val="left" w:pos="1418" w:leader="none"/>
        </w:tabs>
        <w:spacing w:lineRule="auto" w:line="360" w:before="0" w:after="0"/>
        <w:ind w:hanging="426"/>
        <w:rPr>
          <w:lang w:eastAsia="pt-BR"/>
        </w:rPr>
      </w:pPr>
      <w:r>
        <w:rPr>
          <w:lang w:eastAsia="pt-BR"/>
        </w:rPr>
      </w:r>
    </w:p>
    <w:p>
      <w:pPr>
        <w:pStyle w:val="Normal"/>
        <w:tabs>
          <w:tab w:val="clear" w:pos="708"/>
          <w:tab w:val="left" w:pos="5220" w:leader="none"/>
        </w:tabs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>
          <w:rFonts w:eastAsia="Times New Roman" w:cs="Calibri"/>
          <w:b/>
          <w:color w:val="000000" w:themeColor="text1"/>
          <w:sz w:val="20"/>
          <w:szCs w:val="20"/>
        </w:rPr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Ttulo4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  <w:t>ANEXO VII - Reestimativa da Receita de RRT – Reprogramação TOTAL 2021</w:t>
      </w:r>
    </w:p>
    <w:p>
      <w:pPr>
        <w:sectPr>
          <w:headerReference w:type="default" r:id="rId42"/>
          <w:footerReference w:type="default" r:id="rId43"/>
          <w:footnotePr>
            <w:numFmt w:val="decimal"/>
          </w:footnotePr>
          <w:type w:val="nextPage"/>
          <w:pgSz w:w="11906" w:h="16838"/>
          <w:pgMar w:left="1418" w:right="1418" w:header="709" w:top="1418" w:footer="153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jc w:val="center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  <mc:AlternateContent>
          <mc:Choice Requires="wps">
            <w:drawing>
              <wp:anchor behindDoc="0" distT="3175" distB="3175" distL="231775" distR="231775" simplePos="0" locked="0" layoutInCell="0" allowOverlap="1" relativeHeight="92" wp14:anchorId="2E6B4BF9">
                <wp:simplePos x="0" y="0"/>
                <wp:positionH relativeFrom="rightMargin">
                  <wp:posOffset>-4061460</wp:posOffset>
                </wp:positionH>
                <wp:positionV relativeFrom="margin">
                  <wp:posOffset>3467735</wp:posOffset>
                </wp:positionV>
                <wp:extent cx="8472805" cy="825500"/>
                <wp:effectExtent l="13652" t="5398" r="0" b="0"/>
                <wp:wrapSquare wrapText="bothSides"/>
                <wp:docPr id="63" name="Caixa de Texto 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472240" cy="824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algn="r" dir="10800000" dist="18720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VII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cstheme="majorBidi" w:eastAsiaTheme="majorEastAsia" w:ascii="Bookman Old Style" w:hAnsi="Bookman Old Style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II</w:t>
                            </w:r>
                          </w:p>
                        </w:txbxContent>
                      </wps:txbx>
                      <wps:bodyPr lIns="228600" rIns="0" tIns="137160" bIns="13716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41" path="m0,0l-2147483645,0l-2147483645,-2147483646l0,-2147483646xe" fillcolor="white" stroked="f" style="position:absolute;margin-left:-319.8pt;margin-top:273.05pt;width:667.05pt;height:64.9pt;mso-wrap-style:square;v-text-anchor:top;rotation:270;mso-position-horizontal-relative:page;mso-position-vertical-relative:margin" wp14:anchorId="2E6B4BF9">
                <v:fill o:detectmouseclick="t" type="solid" color2="black"/>
                <v:stroke color="#3465a4" weight="6480" joinstyle="round" endcap="flat"/>
                <v:shadow on="t" obscured="f" color="#f2f2f2"/>
                <v:textbox>
                  <w:txbxContent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VII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cstheme="majorBidi" w:eastAsiaTheme="majorEastAsia" w:ascii="Bookman Old Style" w:hAnsi="Bookman Old Style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II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Ttulo3"/>
        <w:ind w:left="720" w:right="253" w:hanging="720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bookmarkStart w:id="832" w:name="_Toc78546321"/>
      <w:bookmarkStart w:id="833" w:name="_Toc45579796"/>
      <w:bookmarkStart w:id="834" w:name="_Toc45572843"/>
      <w:bookmarkStart w:id="835" w:name="_Toc45563836"/>
      <w:bookmarkStart w:id="836" w:name="_Toc12225223"/>
      <w:bookmarkStart w:id="837" w:name="_Toc12185112"/>
      <w:bookmarkStart w:id="838" w:name="_Toc12119788"/>
      <w:bookmarkStart w:id="839" w:name="_Toc12119644"/>
      <w:bookmarkStart w:id="840" w:name="_Toc517188778"/>
      <w:bookmarkStart w:id="841" w:name="_Toc517112020"/>
      <w:bookmarkStart w:id="842" w:name="_Toc516748158"/>
      <w:bookmarkStart w:id="843" w:name="_Toc516747768"/>
      <w:bookmarkStart w:id="844" w:name="_Toc516740140"/>
      <w:bookmarkStart w:id="845" w:name="_Toc485637265"/>
      <w:bookmarkStart w:id="846" w:name="_Toc485396242"/>
      <w:bookmarkStart w:id="847" w:name="_Toc485394014"/>
      <w:bookmarkStart w:id="848" w:name="_Toc485391732"/>
      <w:r>
        <w:rPr/>
        <w:t>ANEXO VII – Reestimativa da Receita de RRT TOTAL – Reprogramação 20</w:t>
      </w:r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r>
        <w:rPr/>
        <w:t>2</w:t>
      </w:r>
      <w:bookmarkEnd w:id="833"/>
      <w:bookmarkEnd w:id="834"/>
      <w:bookmarkEnd w:id="835"/>
      <w:r>
        <w:rPr/>
        <w:t>1</w:t>
      </w:r>
      <w:bookmarkEnd w:id="832"/>
    </w:p>
    <w:p>
      <w:pPr>
        <w:pStyle w:val="Normal"/>
        <w:rPr>
          <w:lang w:eastAsia="pt-BR"/>
        </w:rPr>
      </w:pPr>
      <w:r>
        <w:rPr/>
        <w:drawing>
          <wp:inline distT="0" distB="0" distL="0" distR="0">
            <wp:extent cx="8671560" cy="4683760"/>
            <wp:effectExtent l="0" t="0" r="0" b="0"/>
            <wp:docPr id="66" name="Imagem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m 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0" t="0" r="421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56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Fonte da execução: IGEO até 19/05/2021. </w:t>
      </w:r>
    </w:p>
    <w:p>
      <w:pPr>
        <w:pStyle w:val="NoSpacing"/>
        <w:jc w:val="both"/>
        <w:rPr>
          <w:sz w:val="16"/>
          <w:szCs w:val="16"/>
        </w:rPr>
      </w:pPr>
      <w:r>
        <w:rPr>
          <w:rFonts w:eastAsia="Times New Roman"/>
          <w:sz w:val="16"/>
          <w:szCs w:val="16"/>
        </w:rPr>
        <w:t>Programação 2021: Valores aprovados no Plano de Ação da Programação 2021.</w:t>
      </w:r>
      <w:r>
        <w:rPr>
          <w:sz w:val="16"/>
          <w:szCs w:val="16"/>
        </w:rPr>
        <w:t xml:space="preserve">  </w:t>
      </w:r>
    </w:p>
    <w:p>
      <w:pPr>
        <w:sectPr>
          <w:headerReference w:type="default" r:id="rId45"/>
          <w:footerReference w:type="default" r:id="rId46"/>
          <w:footnotePr>
            <w:numFmt w:val="decimal"/>
          </w:footnotePr>
          <w:type w:val="nextPage"/>
          <w:pgSz w:orient="landscape" w:w="16838" w:h="11906"/>
          <w:pgMar w:left="1418" w:right="1418" w:header="709" w:top="1418" w:footer="153" w:bottom="993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Ttulo4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  <w:t>ANEXO VIII - Reestimativa da Receita com Taxas e Multas – Reprogramação 2021</w:t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  <mc:AlternateContent>
          <mc:Choice Requires="wps">
            <w:drawing>
              <wp:anchor behindDoc="0" distT="3175" distB="3175" distL="231775" distR="231775" simplePos="0" locked="0" layoutInCell="0" allowOverlap="1" relativeHeight="86" wp14:anchorId="177CBCB9">
                <wp:simplePos x="0" y="0"/>
                <wp:positionH relativeFrom="rightMargin">
                  <wp:posOffset>-4088765</wp:posOffset>
                </wp:positionH>
                <wp:positionV relativeFrom="margin">
                  <wp:posOffset>3402330</wp:posOffset>
                </wp:positionV>
                <wp:extent cx="8588375" cy="867410"/>
                <wp:effectExtent l="12382" t="6668" r="0" b="0"/>
                <wp:wrapSquare wrapText="bothSides"/>
                <wp:docPr id="68" name="Caixa de Texto 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587800" cy="866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algn="r" dir="10800000" dist="18720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VIII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cstheme="majorBidi" w:eastAsiaTheme="majorEastAsia" w:ascii="Bookman Old Style" w:hAnsi="Bookman Old Style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N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 xml:space="preserve">O 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V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lIns="228600" rIns="0" tIns="137160" bIns="13716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41" path="m0,0l-2147483645,0l-2147483645,-2147483646l0,-2147483646xe" fillcolor="white" stroked="f" style="position:absolute;margin-left:-321.95pt;margin-top:267.9pt;width:676.15pt;height:68.2pt;mso-wrap-style:square;v-text-anchor:top;rotation:270;mso-position-horizontal-relative:page;mso-position-vertical-relative:margin" wp14:anchorId="177CBCB9">
                <v:fill o:detectmouseclick="t" type="solid" color2="black"/>
                <v:stroke color="#3465a4" weight="6480" joinstyle="round" endcap="flat"/>
                <v:shadow on="t" obscured="f" color="#f2f2f2"/>
                <v:textbox>
                  <w:txbxContent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VIII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cstheme="majorBidi" w:eastAsiaTheme="majorEastAsia" w:ascii="Bookman Old Style" w:hAnsi="Bookman Old Style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N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E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X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 xml:space="preserve">O 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V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Style w:val="Ttulo3Char"/>
          <w:rFonts w:eastAsia="Calibri" w:eastAsiaTheme="minorHAnsi"/>
        </w:rPr>
      </w:pPr>
      <w:r>
        <w:rPr>
          <w:rFonts w:eastAsia="Calibri" w:eastAsiaTheme="minorHAnsi"/>
        </w:rPr>
      </w:r>
      <w:bookmarkStart w:id="849" w:name="_Toc485637266"/>
      <w:bookmarkStart w:id="850" w:name="_Toc485396243"/>
      <w:bookmarkStart w:id="851" w:name="_Toc485394015"/>
      <w:bookmarkStart w:id="852" w:name="_Toc485391733"/>
      <w:bookmarkStart w:id="853" w:name="_Toc485637266"/>
      <w:bookmarkStart w:id="854" w:name="_Toc485396243"/>
      <w:bookmarkStart w:id="855" w:name="_Toc485394015"/>
      <w:bookmarkStart w:id="856" w:name="_Toc485391733"/>
      <w:r>
        <w:br w:type="page"/>
      </w:r>
    </w:p>
    <w:p>
      <w:pPr>
        <w:pStyle w:val="Ttulo3"/>
        <w:ind w:left="720" w:right="253" w:hanging="720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bookmarkStart w:id="857" w:name="_Toc485637266"/>
      <w:bookmarkStart w:id="858" w:name="_Toc485396243"/>
      <w:bookmarkStart w:id="859" w:name="_Toc485394015"/>
      <w:bookmarkStart w:id="860" w:name="_Toc485391733"/>
      <w:bookmarkStart w:id="861" w:name="_Toc78546322"/>
      <w:bookmarkStart w:id="862" w:name="_Toc45579797"/>
      <w:bookmarkStart w:id="863" w:name="_Toc45572844"/>
      <w:bookmarkStart w:id="864" w:name="_Toc45563837"/>
      <w:bookmarkStart w:id="865" w:name="_Toc12225224"/>
      <w:bookmarkStart w:id="866" w:name="_Toc12119789"/>
      <w:bookmarkStart w:id="867" w:name="_Toc12119645"/>
      <w:bookmarkStart w:id="868" w:name="_Toc517188779"/>
      <w:bookmarkStart w:id="869" w:name="_Toc517112021"/>
      <w:bookmarkStart w:id="870" w:name="_Toc517110605"/>
      <w:bookmarkStart w:id="871" w:name="_Toc516748159"/>
      <w:bookmarkStart w:id="872" w:name="_Toc516747769"/>
      <w:bookmarkStart w:id="873" w:name="_Toc516740141"/>
      <w:r>
        <w:rPr/>
        <w:t xml:space="preserve">ANEXO VIII – Reestimativa da Receita com Taxas e Multas – Reprogramação </w:t>
      </w:r>
      <w:bookmarkEnd w:id="857"/>
      <w:bookmarkEnd w:id="858"/>
      <w:bookmarkEnd w:id="859"/>
      <w:bookmarkEnd w:id="860"/>
      <w:r>
        <w:rPr/>
        <w:t>20</w:t>
      </w:r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r>
        <w:rPr/>
        <w:t>2</w:t>
      </w:r>
      <w:bookmarkEnd w:id="862"/>
      <w:bookmarkEnd w:id="863"/>
      <w:bookmarkEnd w:id="864"/>
      <w:r>
        <w:rPr/>
        <w:t>1</w:t>
      </w:r>
      <w:bookmarkEnd w:id="861"/>
    </w:p>
    <w:p>
      <w:pPr>
        <w:pStyle w:val="Normal"/>
        <w:rPr>
          <w:rFonts w:eastAsia="Cambria"/>
          <w:b/>
          <w:b/>
          <w:color w:val="000000" w:themeColor="text1"/>
          <w:lang w:eastAsia="pt-BR"/>
        </w:rPr>
      </w:pPr>
      <w:r>
        <w:rPr/>
        <w:drawing>
          <wp:inline distT="0" distB="0" distL="0" distR="0">
            <wp:extent cx="6120765" cy="5167630"/>
            <wp:effectExtent l="0" t="0" r="0" b="0"/>
            <wp:docPr id="70" name="Imagem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m 57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Fonte da execução: IGEO até 19/05/2021. </w:t>
      </w:r>
    </w:p>
    <w:p>
      <w:pPr>
        <w:pStyle w:val="NoSpacing"/>
        <w:jc w:val="both"/>
        <w:rPr>
          <w:sz w:val="16"/>
          <w:szCs w:val="16"/>
        </w:rPr>
      </w:pPr>
      <w:r>
        <w:rPr>
          <w:rFonts w:eastAsia="Times New Roman"/>
          <w:sz w:val="16"/>
          <w:szCs w:val="16"/>
        </w:rPr>
        <w:t>Programação 2021: Valores aprovados no Plano de Ação da Programação 2021.</w:t>
      </w:r>
      <w:r>
        <w:rPr>
          <w:sz w:val="16"/>
          <w:szCs w:val="16"/>
        </w:rPr>
        <w:t xml:space="preserve">  </w:t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Ttulo4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  <w:t xml:space="preserve">ANEXO IX - </w:t>
      </w:r>
      <w:bookmarkStart w:id="874" w:name="_Hlk74832648"/>
      <w:r>
        <w:rPr>
          <w:rFonts w:eastAsia="Arial Unicode MS"/>
          <w:b/>
          <w:i w:val="false"/>
          <w:color w:val="006666"/>
          <w:sz w:val="44"/>
        </w:rPr>
        <w:t>Comparativo da Receita dos CAU/UF (80%) – Reprogramação Total 2021</w:t>
      </w:r>
      <w:bookmarkEnd w:id="874"/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  <mc:AlternateContent>
          <mc:Choice Requires="wps">
            <w:drawing>
              <wp:anchor behindDoc="0" distT="3175" distB="3175" distL="231775" distR="231775" simplePos="0" locked="0" layoutInCell="0" allowOverlap="1" relativeHeight="87" wp14:anchorId="7DA90CA3">
                <wp:simplePos x="0" y="0"/>
                <wp:positionH relativeFrom="rightMargin">
                  <wp:posOffset>-4398010</wp:posOffset>
                </wp:positionH>
                <wp:positionV relativeFrom="margin">
                  <wp:posOffset>3778885</wp:posOffset>
                </wp:positionV>
                <wp:extent cx="9125585" cy="825500"/>
                <wp:effectExtent l="16192" t="2858" r="0" b="0"/>
                <wp:wrapSquare wrapText="bothSides"/>
                <wp:docPr id="71" name="Caixa de Texto 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124920" cy="824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algn="r" dir="10800000" dist="18720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IX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cstheme="majorBidi" w:eastAsiaTheme="majorEastAsia" w:ascii="Bookman Old Style" w:hAnsi="Bookman Old Style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wps:txbx>
                      <wps:bodyPr lIns="228600" rIns="0" tIns="137160" bIns="13716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41" path="m0,0l-2147483645,0l-2147483645,-2147483646l0,-2147483646xe" fillcolor="white" stroked="f" style="position:absolute;margin-left:-346.3pt;margin-top:297.55pt;width:718.45pt;height:64.9pt;mso-wrap-style:square;v-text-anchor:top;rotation:270;mso-position-horizontal-relative:page;mso-position-vertical-relative:margin" wp14:anchorId="7DA90CA3">
                <v:fill o:detectmouseclick="t" type="solid" color2="black"/>
                <v:stroke color="#3465a4" weight="6480" joinstyle="round" endcap="flat"/>
                <v:shadow on="t" obscured="f" color="#f2f2f2"/>
                <v:textbox>
                  <w:txbxContent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IX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cstheme="majorBidi" w:eastAsiaTheme="majorEastAsia" w:ascii="Bookman Old Style" w:hAnsi="Bookman Old Style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rmal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sectPr>
          <w:headerReference w:type="default" r:id="rId48"/>
          <w:footerReference w:type="default" r:id="rId49"/>
          <w:footnotePr>
            <w:numFmt w:val="decimal"/>
          </w:footnotePr>
          <w:type w:val="nextPage"/>
          <w:pgSz w:w="11906" w:h="16838"/>
          <w:pgMar w:left="1418" w:right="849" w:header="709" w:top="1418" w:footer="153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tabs>
          <w:tab w:val="clear" w:pos="708"/>
          <w:tab w:val="left" w:pos="5190" w:leader="none"/>
        </w:tabs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Ttulo3"/>
        <w:ind w:left="720" w:right="253" w:hanging="720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bookmarkStart w:id="875" w:name="_Toc78546323"/>
      <w:bookmarkStart w:id="876" w:name="_Toc45579798"/>
      <w:bookmarkStart w:id="877" w:name="_Toc45572845"/>
      <w:bookmarkStart w:id="878" w:name="_Toc45563838"/>
      <w:bookmarkStart w:id="879" w:name="_Toc12225225"/>
      <w:bookmarkStart w:id="880" w:name="_Toc12185113"/>
      <w:bookmarkStart w:id="881" w:name="_Toc12119791"/>
      <w:bookmarkStart w:id="882" w:name="_Toc517188780"/>
      <w:bookmarkStart w:id="883" w:name="_Toc517112022"/>
      <w:bookmarkStart w:id="884" w:name="_Toc516748160"/>
      <w:bookmarkStart w:id="885" w:name="_Toc516747770"/>
      <w:bookmarkStart w:id="886" w:name="_Toc516740142"/>
      <w:bookmarkStart w:id="887" w:name="_Toc485637267"/>
      <w:bookmarkStart w:id="888" w:name="_Toc485396244"/>
      <w:bookmarkStart w:id="889" w:name="_Toc485394016"/>
      <w:bookmarkStart w:id="890" w:name="_Toc485391734"/>
      <w:r>
        <w:rPr/>
        <w:t>ANEXO IX – Comparativo da Receita dos CAU/UF (80%) – Reprogramação Total 20</w:t>
      </w:r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r>
        <w:rPr/>
        <w:t>2</w:t>
      </w:r>
      <w:bookmarkEnd w:id="876"/>
      <w:bookmarkEnd w:id="877"/>
      <w:bookmarkEnd w:id="878"/>
      <w:r>
        <w:rPr/>
        <w:t>1</w:t>
      </w:r>
      <w:bookmarkEnd w:id="875"/>
    </w:p>
    <w:p>
      <w:pPr>
        <w:pStyle w:val="Normal"/>
        <w:tabs>
          <w:tab w:val="clear" w:pos="708"/>
          <w:tab w:val="left" w:pos="1418" w:leader="none"/>
        </w:tabs>
        <w:spacing w:lineRule="auto" w:line="240" w:before="0" w:after="0"/>
        <w:rPr>
          <w:lang w:eastAsia="pt-BR"/>
        </w:rPr>
      </w:pPr>
      <w:r>
        <w:rPr/>
        <w:drawing>
          <wp:inline distT="0" distB="0" distL="0" distR="0">
            <wp:extent cx="9403080" cy="4994275"/>
            <wp:effectExtent l="0" t="0" r="0" b="0"/>
            <wp:docPr id="74" name="Imagem 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m 78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080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1418" w:leader="none"/>
        </w:tabs>
        <w:spacing w:lineRule="auto" w:line="240" w:before="0" w:after="0"/>
        <w:rPr>
          <w:lang w:eastAsia="pt-BR"/>
        </w:rPr>
      </w:pPr>
      <w:r>
        <w:rPr>
          <w:lang w:eastAsia="pt-BR"/>
        </w:rPr>
      </w:r>
    </w:p>
    <w:p>
      <w:pPr>
        <w:pStyle w:val="Normal"/>
        <w:tabs>
          <w:tab w:val="clear" w:pos="708"/>
          <w:tab w:val="left" w:pos="1418" w:leader="none"/>
        </w:tabs>
        <w:spacing w:lineRule="auto" w:line="240" w:before="0" w:after="0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Fonte da execução: Siccau até 22/06/2021. </w:t>
      </w:r>
    </w:p>
    <w:p>
      <w:pPr>
        <w:pStyle w:val="Normal"/>
        <w:tabs>
          <w:tab w:val="clear" w:pos="708"/>
          <w:tab w:val="left" w:pos="1418" w:leader="none"/>
        </w:tabs>
        <w:spacing w:lineRule="auto" w:line="240" w:before="0" w:after="0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>Programação 2021: Valores aprovados nos Planos de Ação da Programação 2021.</w:t>
      </w:r>
      <w:bookmarkStart w:id="891" w:name="_Toc45579799"/>
      <w:bookmarkStart w:id="892" w:name="_Toc45572846"/>
      <w:bookmarkStart w:id="893" w:name="_Toc45563839"/>
      <w:bookmarkStart w:id="894" w:name="_Toc12225226"/>
      <w:bookmarkStart w:id="895" w:name="_Toc12185114"/>
      <w:bookmarkStart w:id="896" w:name="_Toc12119792"/>
      <w:bookmarkStart w:id="897" w:name="_Toc517188781"/>
      <w:bookmarkStart w:id="898" w:name="_Toc517112023"/>
      <w:bookmarkStart w:id="899" w:name="_Toc516748161"/>
      <w:bookmarkStart w:id="900" w:name="_Toc516747771"/>
      <w:bookmarkStart w:id="901" w:name="_Toc516740143"/>
      <w:bookmarkStart w:id="902" w:name="_Toc485637268"/>
      <w:bookmarkStart w:id="903" w:name="_Toc485396245"/>
      <w:bookmarkStart w:id="904" w:name="_Toc485394017"/>
      <w:bookmarkStart w:id="905" w:name="_Toc485391735"/>
    </w:p>
    <w:p>
      <w:pPr>
        <w:pStyle w:val="Ttulo3"/>
        <w:ind w:left="720" w:right="253" w:hanging="720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bookmarkStart w:id="906" w:name="_Toc78546324"/>
      <w:r>
        <w:rPr/>
        <w:t>ANEXO IX.I – Comparativo da Receita dos CAU/UF (80%) Anuidades e Exercícios anteriores – Reprogramação 20</w:t>
      </w:r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r>
        <w:rPr/>
        <w:t>21</w:t>
      </w:r>
      <w:bookmarkEnd w:id="891"/>
      <w:bookmarkEnd w:id="892"/>
      <w:bookmarkEnd w:id="893"/>
      <w:bookmarkEnd w:id="906"/>
      <w:r>
        <w:rPr/>
        <w:tab/>
      </w:r>
    </w:p>
    <w:p>
      <w:pPr>
        <w:pStyle w:val="NoSpacing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  <w:drawing>
          <wp:inline distT="0" distB="0" distL="0" distR="0">
            <wp:extent cx="9377045" cy="4692650"/>
            <wp:effectExtent l="0" t="0" r="0" b="0"/>
            <wp:docPr id="75" name="Imagem 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m 76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045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/>
      </w:r>
    </w:p>
    <w:p>
      <w:pPr>
        <w:pStyle w:val="NoSpacing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Fonte da execução: Siccau até 19/05/2021. </w:t>
      </w:r>
    </w:p>
    <w:p>
      <w:pPr>
        <w:sectPr>
          <w:headerReference w:type="default" r:id="rId52"/>
          <w:footerReference w:type="default" r:id="rId53"/>
          <w:footnotePr>
            <w:numFmt w:val="decimal"/>
          </w:footnotePr>
          <w:type w:val="nextPage"/>
          <w:pgSz w:orient="landscape" w:w="16838" w:h="11906"/>
          <w:pgMar w:left="1418" w:right="1418" w:header="426" w:top="1418" w:footer="602" w:bottom="1134" w:gutter="0"/>
          <w:pgNumType w:fmt="decimal"/>
          <w:formProt w:val="false"/>
          <w:titlePg/>
          <w:textDirection w:val="lrTb"/>
          <w:docGrid w:type="default" w:linePitch="360" w:charSpace="4096"/>
        </w:sectPr>
        <w:pStyle w:val="NoSpacing"/>
        <w:rPr>
          <w:rFonts w:ascii="Calibri" w:hAnsi="Calibri" w:eastAsia="Times New Roman" w:cs="Calibri"/>
          <w:b/>
          <w:b/>
          <w:color w:val="000000" w:themeColor="text1"/>
          <w:sz w:val="20"/>
          <w:szCs w:val="20"/>
        </w:rPr>
      </w:pPr>
      <w:r>
        <w:rPr>
          <w:rFonts w:eastAsia="Times New Roman"/>
          <w:sz w:val="16"/>
          <w:szCs w:val="16"/>
        </w:rPr>
        <w:t>Programação 2021: Valores aprovados nos Planos de Ação da Reprogramação 2021.</w:t>
      </w:r>
    </w:p>
    <w:p>
      <w:pPr>
        <w:pStyle w:val="Normal"/>
        <w:tabs>
          <w:tab w:val="clear" w:pos="708"/>
          <w:tab w:val="left" w:pos="5190" w:leader="none"/>
        </w:tabs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Ttulo4"/>
        <w:jc w:val="both"/>
        <w:rPr>
          <w:b/>
          <w:b/>
          <w:color w:val="auto"/>
          <w:sz w:val="36"/>
          <w:szCs w:val="36"/>
        </w:rPr>
      </w:pPr>
      <w:r>
        <mc:AlternateContent>
          <mc:Choice Requires="wps">
            <w:drawing>
              <wp:anchor behindDoc="0" distT="3175" distB="3175" distL="231775" distR="231775" simplePos="0" locked="0" layoutInCell="0" allowOverlap="1" relativeHeight="88" wp14:anchorId="2080F4E0">
                <wp:simplePos x="0" y="0"/>
                <wp:positionH relativeFrom="rightMargin">
                  <wp:posOffset>-3820160</wp:posOffset>
                </wp:positionH>
                <wp:positionV relativeFrom="margin">
                  <wp:posOffset>3497580</wp:posOffset>
                </wp:positionV>
                <wp:extent cx="8588375" cy="825500"/>
                <wp:effectExtent l="14287" t="4763" r="0" b="0"/>
                <wp:wrapSquare wrapText="bothSides"/>
                <wp:docPr id="77" name="Caixa de Texto 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587800" cy="824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algn="r" dir="10800000" dist="18720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cstheme="majorBidi" w:eastAsiaTheme="majorEastAsia" w:ascii="Bookman Old Style" w:hAnsi="Bookman Old Style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</w:txbxContent>
                      </wps:txbx>
                      <wps:bodyPr lIns="228600" rIns="0" tIns="137160" bIns="13716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41" path="m0,0l-2147483645,0l-2147483645,-2147483646l0,-2147483646xe" fillcolor="white" stroked="f" style="position:absolute;margin-left:-300.8pt;margin-top:275.4pt;width:676.15pt;height:64.9pt;mso-wrap-style:square;v-text-anchor:top;rotation:270;mso-position-horizontal-relative:page;mso-position-vertical-relative:margin" wp14:anchorId="2080F4E0">
                <v:fill o:detectmouseclick="t" type="solid" color2="black"/>
                <v:stroke color="#3465a4" weight="6480" joinstyle="round" endcap="flat"/>
                <v:shadow on="t" obscured="f" color="#f2f2f2"/>
                <v:textbox>
                  <w:txbxContent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cstheme="majorBidi" w:eastAsiaTheme="majorEastAsia" w:ascii="Bookman Old Style" w:hAnsi="Bookman Old Style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eastAsia="Arial Unicode MS"/>
          <w:b/>
          <w:i w:val="false"/>
          <w:color w:val="006666"/>
          <w:sz w:val="44"/>
        </w:rPr>
        <w:t>ANEXO X - Fundo de Apoio Financeiro aos CAU/UF (Aportes e Destinações) – Reprogramação 2021</w:t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Ttulo3"/>
        <w:ind w:left="720" w:right="253" w:hanging="153"/>
        <w:rPr>
          <w:rFonts w:cs="Calibri" w:cstheme="minorHAnsi"/>
          <w:b/>
          <w:b/>
          <w:bCs/>
          <w:sz w:val="36"/>
          <w:szCs w:val="36"/>
        </w:rPr>
      </w:pPr>
      <w:bookmarkStart w:id="907" w:name="_Toc78546325"/>
      <w:bookmarkStart w:id="908" w:name="_Toc45579800"/>
      <w:bookmarkStart w:id="909" w:name="_Toc45572847"/>
      <w:bookmarkStart w:id="910" w:name="_Toc45563840"/>
      <w:bookmarkStart w:id="911" w:name="_Toc12225227"/>
      <w:bookmarkStart w:id="912" w:name="_Toc12185115"/>
      <w:bookmarkStart w:id="913" w:name="_Toc12119793"/>
      <w:bookmarkStart w:id="914" w:name="_Toc517188782"/>
      <w:bookmarkStart w:id="915" w:name="_Toc517112024"/>
      <w:bookmarkStart w:id="916" w:name="_Toc516748162"/>
      <w:bookmarkStart w:id="917" w:name="_Toc516747772"/>
      <w:bookmarkStart w:id="918" w:name="_Toc516740144"/>
      <w:bookmarkStart w:id="919" w:name="_Toc485637269"/>
      <w:bookmarkStart w:id="920" w:name="_Toc485396246"/>
      <w:bookmarkStart w:id="921" w:name="_Toc485394018"/>
      <w:bookmarkStart w:id="922" w:name="_Toc485391736"/>
      <w:r>
        <w:rPr/>
        <w:t>ANEXO X – Fundo de Apoio – Aporte Financeiro (Reprogramação 2021)</w:t>
      </w:r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  <w:drawing>
          <wp:inline distT="0" distB="0" distL="0" distR="0">
            <wp:extent cx="5759450" cy="6511925"/>
            <wp:effectExtent l="0" t="0" r="0" b="0"/>
            <wp:docPr id="79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0" t="3934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1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pStyle w:val="Normal"/>
        <w:rPr>
          <w:rFonts w:cs="Calibri" w:cstheme="minorHAnsi"/>
          <w:b/>
          <w:b/>
          <w:bCs/>
          <w:sz w:val="36"/>
          <w:szCs w:val="36"/>
        </w:rPr>
      </w:pPr>
      <w:r>
        <w:rPr/>
      </w:r>
    </w:p>
    <w:p>
      <w:pPr>
        <w:sectPr>
          <w:headerReference w:type="default" r:id="rId55"/>
          <w:footerReference w:type="default" r:id="rId56"/>
          <w:footnotePr>
            <w:numFmt w:val="decimal"/>
          </w:footnotePr>
          <w:type w:val="nextPage"/>
          <w:pgSz w:w="11906" w:h="16838"/>
          <w:pgMar w:left="1418" w:right="1418" w:header="709" w:top="1418" w:footer="153" w:bottom="1418" w:gutter="0"/>
          <w:pgNumType w:fmt="decimal"/>
          <w:formProt w:val="false"/>
          <w:textDirection w:val="lrTb"/>
          <w:docGrid w:type="default" w:linePitch="360" w:charSpace="4096"/>
        </w:sectPr>
        <w:pStyle w:val="ListParagraph"/>
        <w:tabs>
          <w:tab w:val="clear" w:pos="708"/>
          <w:tab w:val="left" w:pos="426" w:leader="none"/>
          <w:tab w:val="left" w:pos="7797" w:leader="none"/>
        </w:tabs>
        <w:spacing w:lineRule="auto" w:line="360"/>
        <w:ind w:left="567" w:hanging="0"/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Ttulo3"/>
        <w:ind w:left="720" w:right="253" w:hanging="720"/>
        <w:rPr>
          <w:sz w:val="16"/>
          <w:szCs w:val="16"/>
        </w:rPr>
      </w:pPr>
      <w:bookmarkStart w:id="923" w:name="_Toc45579801"/>
      <w:bookmarkStart w:id="924" w:name="_Toc45572848"/>
      <w:bookmarkStart w:id="925" w:name="_Toc45563841"/>
      <w:bookmarkStart w:id="926" w:name="_Toc12225228"/>
      <w:bookmarkStart w:id="927" w:name="_Toc12185116"/>
      <w:bookmarkStart w:id="928" w:name="_Toc12119794"/>
      <w:bookmarkStart w:id="929" w:name="_Toc517188783"/>
      <w:bookmarkStart w:id="930" w:name="_Toc517112025"/>
      <w:bookmarkStart w:id="931" w:name="_Toc516748163"/>
      <w:bookmarkStart w:id="932" w:name="_Toc516747773"/>
      <w:bookmarkStart w:id="933" w:name="_Toc516740145"/>
      <w:bookmarkStart w:id="934" w:name="_Toc485637270"/>
      <w:bookmarkStart w:id="935" w:name="_Toc485396247"/>
      <w:bookmarkStart w:id="936" w:name="_Toc485394019"/>
      <w:bookmarkStart w:id="937" w:name="_Toc485391737"/>
      <w:bookmarkStart w:id="938" w:name="_Toc78546326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r>
        <w:rPr/>
        <w:t>ANEXO X.I – Fundo de Apoio – Exercício 2021 – Destinação dos Recursos por CAU/Básico</w:t>
      </w:r>
      <w:bookmarkEnd w:id="938"/>
      <w:r>
        <w:rPr/>
        <w:t xml:space="preserve"> </w:t>
      </w:r>
    </w:p>
    <w:p>
      <w:pPr>
        <w:pStyle w:val="Normal"/>
        <w:rPr>
          <w:sz w:val="16"/>
          <w:szCs w:val="16"/>
        </w:rPr>
      </w:pPr>
      <w:r>
        <w:rPr/>
        <w:drawing>
          <wp:inline distT="0" distB="0" distL="0" distR="0">
            <wp:extent cx="8891270" cy="3933825"/>
            <wp:effectExtent l="0" t="0" r="0" b="0"/>
            <wp:docPr id="81" name="Imagem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m 5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58"/>
          <w:footerReference w:type="default" r:id="rId59"/>
          <w:footnotePr>
            <w:numFmt w:val="decimal"/>
          </w:footnotePr>
          <w:type w:val="nextPage"/>
          <w:pgSz w:orient="landscape" w:w="16838" w:h="11906"/>
          <w:pgMar w:left="1418" w:right="1418" w:header="709" w:top="1418" w:footer="153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rPr>
          <w:sz w:val="16"/>
          <w:szCs w:val="16"/>
        </w:rPr>
      </w:pPr>
      <w:r>
        <w:rPr/>
      </w:r>
    </w:p>
    <w:p>
      <w:pPr>
        <w:pStyle w:val="Ttulo3"/>
        <w:ind w:left="0" w:right="253" w:hanging="0"/>
        <w:jc w:val="both"/>
        <w:rPr>
          <w:rFonts w:ascii="Calibri Light" w:hAnsi="Calibri Light" w:eastAsia="Arial Unicode MS" w:cs="" w:asciiTheme="majorHAnsi" w:cstheme="majorBidi" w:hAnsiTheme="majorHAnsi"/>
          <w:iCs/>
          <w:sz w:val="44"/>
          <w:szCs w:val="22"/>
        </w:rPr>
      </w:pPr>
      <w:r>
        <w:rPr>
          <w:rFonts w:eastAsia="Arial Unicode MS" w:cs="" w:cstheme="majorBidi" w:ascii="Calibri Light" w:hAnsi="Calibri Light"/>
          <w:iCs/>
          <w:sz w:val="44"/>
          <w:szCs w:val="22"/>
        </w:rPr>
      </w:r>
      <w:bookmarkStart w:id="939" w:name="_Toc45579801"/>
      <w:bookmarkStart w:id="940" w:name="_Toc45572848"/>
      <w:bookmarkStart w:id="941" w:name="_Toc45563841"/>
      <w:bookmarkStart w:id="942" w:name="_Toc12225228"/>
      <w:bookmarkStart w:id="943" w:name="_Toc12185116"/>
      <w:bookmarkStart w:id="944" w:name="_Toc12119794"/>
      <w:bookmarkStart w:id="945" w:name="_Toc517188783"/>
      <w:bookmarkStart w:id="946" w:name="_Toc517112025"/>
      <w:bookmarkStart w:id="947" w:name="_Toc516748163"/>
      <w:bookmarkStart w:id="948" w:name="_Toc516747773"/>
      <w:bookmarkStart w:id="949" w:name="_Toc516740145"/>
      <w:bookmarkStart w:id="950" w:name="_Toc485637270"/>
      <w:bookmarkStart w:id="951" w:name="_Toc485396247"/>
      <w:bookmarkStart w:id="952" w:name="_Toc485394019"/>
      <w:bookmarkStart w:id="953" w:name="_Toc485391737"/>
      <w:bookmarkStart w:id="954" w:name="_Toc487547261"/>
      <w:bookmarkStart w:id="955" w:name="_Toc424658705"/>
      <w:bookmarkStart w:id="956" w:name="_Toc45579801"/>
      <w:bookmarkStart w:id="957" w:name="_Toc45572848"/>
      <w:bookmarkStart w:id="958" w:name="_Toc45563841"/>
      <w:bookmarkStart w:id="959" w:name="_Toc12225228"/>
      <w:bookmarkStart w:id="960" w:name="_Toc12185116"/>
      <w:bookmarkStart w:id="961" w:name="_Toc12119794"/>
      <w:bookmarkStart w:id="962" w:name="_Toc517188783"/>
      <w:bookmarkStart w:id="963" w:name="_Toc517112025"/>
      <w:bookmarkStart w:id="964" w:name="_Toc516748163"/>
      <w:bookmarkStart w:id="965" w:name="_Toc516747773"/>
      <w:bookmarkStart w:id="966" w:name="_Toc516740145"/>
      <w:bookmarkStart w:id="967" w:name="_Toc485637270"/>
      <w:bookmarkStart w:id="968" w:name="_Toc485396247"/>
      <w:bookmarkStart w:id="969" w:name="_Toc485394019"/>
      <w:bookmarkStart w:id="970" w:name="_Toc485391737"/>
      <w:bookmarkStart w:id="971" w:name="_Toc487547261"/>
      <w:bookmarkStart w:id="972" w:name="_Toc42465870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</w:p>
    <w:p>
      <w:pPr>
        <w:pStyle w:val="Ttulo3"/>
        <w:ind w:left="0" w:right="253" w:hanging="0"/>
        <w:jc w:val="both"/>
        <w:rPr>
          <w:rFonts w:ascii="Calibri Light" w:hAnsi="Calibri Light" w:eastAsia="Arial Unicode MS" w:cs="" w:asciiTheme="majorHAnsi" w:cstheme="majorBidi" w:hAnsiTheme="majorHAnsi"/>
          <w:iCs/>
          <w:sz w:val="44"/>
          <w:szCs w:val="22"/>
        </w:rPr>
      </w:pPr>
      <w:bookmarkStart w:id="973" w:name="_Toc487547261"/>
      <w:bookmarkStart w:id="974" w:name="_Toc424658705"/>
      <w:bookmarkStart w:id="975" w:name="_Toc78546327"/>
      <w:r>
        <mc:AlternateContent>
          <mc:Choice Requires="wps">
            <w:drawing>
              <wp:anchor behindDoc="0" distT="3175" distB="3175" distL="231775" distR="231775" simplePos="0" locked="0" layoutInCell="0" allowOverlap="1" relativeHeight="89" wp14:anchorId="4EFCBDEC">
                <wp:simplePos x="0" y="0"/>
                <wp:positionH relativeFrom="rightMargin">
                  <wp:posOffset>-3818255</wp:posOffset>
                </wp:positionH>
                <wp:positionV relativeFrom="margin">
                  <wp:posOffset>3522345</wp:posOffset>
                </wp:positionV>
                <wp:extent cx="8588375" cy="825500"/>
                <wp:effectExtent l="14287" t="4763" r="0" b="0"/>
                <wp:wrapSquare wrapText="bothSides"/>
                <wp:docPr id="83" name="Caixa de Texto 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587800" cy="824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algn="r" dir="10800000" dist="18720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XI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cstheme="majorBidi" w:eastAsiaTheme="majorEastAsia" w:ascii="Bookman Old Style" w:hAnsi="Bookman Old Style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lIns="228600" rIns="0" tIns="137160" bIns="13716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41" path="m0,0l-2147483645,0l-2147483645,-2147483646l0,-2147483646xe" fillcolor="white" stroked="f" style="position:absolute;margin-left:-300.65pt;margin-top:277.35pt;width:676.15pt;height:64.9pt;mso-wrap-style:square;v-text-anchor:top;rotation:270;mso-position-horizontal-relative:page;mso-position-vertical-relative:margin" wp14:anchorId="4EFCBDEC">
                <v:fill o:detectmouseclick="t" type="solid" color2="black"/>
                <v:stroke color="#3465a4" weight="6480" joinstyle="round" endcap="flat"/>
                <v:shadow on="t" obscured="f" color="#f2f2f2"/>
                <v:textbox>
                  <w:txbxContent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XI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cstheme="majorBidi" w:eastAsiaTheme="majorEastAsia" w:ascii="Bookman Old Style" w:hAnsi="Bookman Old Style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eastAsia="Arial Unicode MS" w:cs="" w:ascii="Calibri Light" w:hAnsi="Calibri Light" w:asciiTheme="majorHAnsi" w:cstheme="majorBidi" w:hAnsiTheme="majorHAnsi"/>
          <w:iCs/>
          <w:sz w:val="44"/>
          <w:szCs w:val="22"/>
        </w:rPr>
        <w:t>ANEXO XI –</w:t>
      </w:r>
      <w:bookmarkEnd w:id="973"/>
      <w:bookmarkEnd w:id="974"/>
      <w:r>
        <w:rPr>
          <w:rFonts w:eastAsia="Arial Unicode MS" w:cs="" w:ascii="Calibri Light" w:hAnsi="Calibri Light" w:asciiTheme="majorHAnsi" w:cstheme="majorBidi" w:hAnsiTheme="majorHAnsi"/>
          <w:iCs/>
          <w:sz w:val="44"/>
          <w:szCs w:val="22"/>
        </w:rPr>
        <w:t xml:space="preserve"> Demonstrativo da Participação dos CAU/UF e do CAU/BR nas Despesas do Centro de Serviços Compartilhados</w:t>
      </w:r>
      <w:bookmarkEnd w:id="975"/>
      <w:r>
        <w:rPr>
          <w:rFonts w:eastAsia="Arial Unicode MS" w:cs="" w:ascii="Calibri Light" w:hAnsi="Calibri Light" w:asciiTheme="majorHAnsi" w:cstheme="majorBidi" w:hAnsiTheme="majorHAnsi"/>
          <w:iCs/>
          <w:sz w:val="44"/>
          <w:szCs w:val="22"/>
        </w:rPr>
        <w:t xml:space="preserve"> </w:t>
      </w:r>
    </w:p>
    <w:p>
      <w:pPr>
        <w:pStyle w:val="Normal"/>
        <w:rPr>
          <w:rFonts w:ascii="Calibri Light" w:hAnsi="Calibri Light" w:eastAsia="Arial Unicode MS" w:cs="" w:asciiTheme="majorHAnsi" w:cstheme="majorBidi" w:hAnsiTheme="majorHAnsi"/>
          <w:b/>
          <w:b/>
          <w:iCs/>
          <w:color w:val="006666"/>
          <w:sz w:val="44"/>
        </w:rPr>
      </w:pPr>
      <w:r>
        <w:rPr>
          <w:rFonts w:eastAsia="Arial Unicode MS" w:cs="" w:cstheme="majorBidi" w:ascii="Calibri Light" w:hAnsi="Calibri Light"/>
          <w:b/>
          <w:iCs/>
          <w:color w:val="006666"/>
          <w:sz w:val="44"/>
        </w:rPr>
      </w:r>
    </w:p>
    <w:p>
      <w:pPr>
        <w:pStyle w:val="Ttulo4"/>
        <w:jc w:val="both"/>
        <w:rPr>
          <w:rFonts w:eastAsia="Arial Unicode MS"/>
          <w:b/>
          <w:b/>
          <w:i w:val="false"/>
          <w:i w:val="false"/>
          <w:color w:val="006666"/>
          <w:sz w:val="44"/>
        </w:rPr>
      </w:pPr>
      <w:bookmarkStart w:id="976" w:name="_Toc487547262"/>
      <w:r>
        <w:rPr>
          <w:rFonts w:eastAsia="Arial Unicode MS"/>
          <w:b/>
          <w:i w:val="false"/>
          <w:color w:val="006666"/>
          <w:sz w:val="44"/>
        </w:rPr>
        <w:t>ANEXO XI.I – Demonstrativo da Participação dos CAU/UF e do CAU/BR nas Despesas do Centro de Serviços Compartilhados (Serviço Telefônico de Teleatendimento 0800/4007</w:t>
      </w:r>
      <w:bookmarkEnd w:id="976"/>
      <w:r>
        <w:rPr>
          <w:rFonts w:eastAsia="Arial Unicode MS"/>
          <w:b/>
          <w:i w:val="false"/>
          <w:color w:val="006666"/>
          <w:sz w:val="44"/>
        </w:rPr>
        <w:t>)</w:t>
      </w:r>
    </w:p>
    <w:p>
      <w:pPr>
        <w:pStyle w:val="Ttulo4"/>
        <w:jc w:val="both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</w:r>
    </w:p>
    <w:p>
      <w:pPr>
        <w:pStyle w:val="Ttulo4"/>
        <w:jc w:val="both"/>
        <w:rPr>
          <w:rFonts w:eastAsia="Arial Unicode MS"/>
          <w:b/>
          <w:b/>
          <w:i w:val="false"/>
          <w:i w:val="false"/>
          <w:color w:val="006666"/>
          <w:sz w:val="44"/>
        </w:rPr>
      </w:pPr>
      <w:bookmarkStart w:id="977" w:name="_Toc487547263"/>
      <w:r>
        <w:rPr>
          <w:rFonts w:eastAsia="Arial Unicode MS"/>
          <w:b/>
          <w:i w:val="false"/>
          <w:color w:val="006666"/>
          <w:sz w:val="44"/>
        </w:rPr>
        <w:t xml:space="preserve">ANEXO XI.II – </w:t>
      </w:r>
      <w:bookmarkEnd w:id="977"/>
      <w:r>
        <w:rPr/>
        <w:t xml:space="preserve"> </w:t>
      </w:r>
      <w:r>
        <w:rPr>
          <w:rFonts w:eastAsia="Arial Unicode MS"/>
          <w:b/>
          <w:i w:val="false"/>
          <w:color w:val="006666"/>
          <w:sz w:val="44"/>
        </w:rPr>
        <w:t>Demonstrativo de Encontro de Contas - CSC – TAQ e 0800 – exercício 2021</w:t>
      </w:r>
    </w:p>
    <w:p>
      <w:pPr>
        <w:pStyle w:val="Ttulo4"/>
        <w:jc w:val="both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</w:r>
    </w:p>
    <w:p>
      <w:pPr>
        <w:pStyle w:val="Ttulo4"/>
        <w:jc w:val="both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  <w:t>ANEXO XI.III – Demonstrativo do Centro de Serviços Compartilhados – Demais Serviços Essenciais 2021</w:t>
      </w:r>
    </w:p>
    <w:p>
      <w:pPr>
        <w:pStyle w:val="Normal"/>
        <w:rPr>
          <w:rFonts w:eastAsia="Arial Unicode MS"/>
        </w:rPr>
      </w:pPr>
      <w:r>
        <w:rPr>
          <w:rFonts w:eastAsia="Arial Unicode MS"/>
        </w:rPr>
      </w:r>
      <w:bookmarkStart w:id="978" w:name="_Toc516748164"/>
      <w:bookmarkStart w:id="979" w:name="_Toc516747774"/>
      <w:bookmarkStart w:id="980" w:name="_Toc488058231"/>
      <w:bookmarkStart w:id="981" w:name="_Toc516740146"/>
      <w:bookmarkStart w:id="982" w:name="_Toc516748164"/>
      <w:bookmarkStart w:id="983" w:name="_Toc516747774"/>
      <w:bookmarkStart w:id="984" w:name="_Toc488058231"/>
      <w:bookmarkStart w:id="985" w:name="_Toc516740146"/>
    </w:p>
    <w:p>
      <w:pPr>
        <w:pStyle w:val="Normal"/>
        <w:rPr>
          <w:rFonts w:eastAsia="Arial Unicode MS"/>
        </w:rPr>
      </w:pPr>
      <w:r>
        <w:rPr>
          <w:rFonts w:eastAsia="Arial Unicode MS"/>
        </w:rPr>
      </w:r>
    </w:p>
    <w:p>
      <w:pPr>
        <w:pStyle w:val="Normal"/>
        <w:rPr>
          <w:rFonts w:eastAsia="Arial Unicode MS"/>
        </w:rPr>
      </w:pPr>
      <w:r>
        <w:rPr>
          <w:rFonts w:eastAsia="Arial Unicode MS"/>
        </w:rPr>
      </w:r>
    </w:p>
    <w:p>
      <w:pPr>
        <w:pStyle w:val="Normal"/>
        <w:rPr>
          <w:rFonts w:eastAsia="Arial Unicode MS"/>
        </w:rPr>
      </w:pPr>
      <w:r>
        <w:rPr>
          <w:rFonts w:eastAsia="Arial Unicode MS"/>
        </w:rPr>
      </w:r>
    </w:p>
    <w:p>
      <w:pPr>
        <w:pStyle w:val="Normal"/>
        <w:rPr>
          <w:rFonts w:eastAsia="Arial Unicode MS"/>
        </w:rPr>
      </w:pPr>
      <w:r>
        <w:rPr>
          <w:rFonts w:eastAsia="Arial Unicode MS"/>
        </w:rPr>
      </w:r>
    </w:p>
    <w:p>
      <w:pPr>
        <w:pStyle w:val="Ttulo3"/>
        <w:ind w:left="0" w:right="253" w:hanging="0"/>
        <w:jc w:val="both"/>
        <w:rPr>
          <w:rFonts w:eastAsia="Arial Unicode MS"/>
        </w:rPr>
      </w:pPr>
      <w:bookmarkStart w:id="986" w:name="_Toc516748164"/>
      <w:bookmarkStart w:id="987" w:name="_Toc516747774"/>
      <w:bookmarkStart w:id="988" w:name="_Toc488058231"/>
      <w:bookmarkStart w:id="989" w:name="_Toc516740146"/>
      <w:bookmarkStart w:id="990" w:name="_Toc78546328"/>
      <w:bookmarkStart w:id="991" w:name="_Toc45579802"/>
      <w:bookmarkStart w:id="992" w:name="_Toc45572849"/>
      <w:bookmarkStart w:id="993" w:name="_Toc45563842"/>
      <w:bookmarkStart w:id="994" w:name="_Toc12225229"/>
      <w:bookmarkStart w:id="995" w:name="_Toc12185117"/>
      <w:bookmarkStart w:id="996" w:name="_Toc12119795"/>
      <w:bookmarkStart w:id="997" w:name="_Toc517188784"/>
      <w:bookmarkStart w:id="998" w:name="_Toc517112026"/>
      <w:r>
        <w:rPr/>
        <w:t>Fundo ANEXO XI – Demonstrativo da Participação dos CAU/UF e do CAU/BR nas Despesas do Centro de Serviços Compartilhados</w:t>
      </w:r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r>
        <w:rPr>
          <w:rFonts w:eastAsia="Arial Unicode MS"/>
        </w:rPr>
        <w:t xml:space="preserve"> </w:t>
      </w:r>
    </w:p>
    <w:p>
      <w:pPr>
        <w:pStyle w:val="Normal"/>
        <w:rPr>
          <w:sz w:val="16"/>
          <w:szCs w:val="16"/>
        </w:rPr>
      </w:pPr>
      <w:r>
        <w:rPr/>
        <w:drawing>
          <wp:inline distT="0" distB="0" distL="0" distR="0">
            <wp:extent cx="5759450" cy="6599555"/>
            <wp:effectExtent l="0" t="0" r="0" b="0"/>
            <wp:docPr id="85" name="Imagem 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m 81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1"/>
          <w:footerReference w:type="default" r:id="rId62"/>
          <w:footnotePr>
            <w:numFmt w:val="decimal"/>
          </w:footnotePr>
          <w:type w:val="nextPage"/>
          <w:pgSz w:w="11906" w:h="16838"/>
          <w:pgMar w:left="1418" w:right="1418" w:header="709" w:top="1418" w:footer="153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jc w:val="center"/>
        <w:rPr>
          <w:sz w:val="16"/>
          <w:szCs w:val="16"/>
        </w:rPr>
      </w:pPr>
      <w:r>
        <w:rPr/>
      </w:r>
    </w:p>
    <w:p>
      <w:pPr>
        <w:pStyle w:val="Ttulo3"/>
        <w:ind w:left="0" w:right="253" w:hanging="0"/>
        <w:rPr>
          <w:sz w:val="16"/>
          <w:szCs w:val="16"/>
        </w:rPr>
      </w:pPr>
      <w:bookmarkStart w:id="999" w:name="_Toc78546329"/>
      <w:bookmarkStart w:id="1000" w:name="_Toc45579803"/>
      <w:bookmarkStart w:id="1001" w:name="_Toc45572850"/>
      <w:bookmarkStart w:id="1002" w:name="_Toc45563843"/>
      <w:bookmarkStart w:id="1003" w:name="_Toc12225230"/>
      <w:bookmarkStart w:id="1004" w:name="_Toc12185118"/>
      <w:bookmarkStart w:id="1005" w:name="_Toc12119796"/>
      <w:bookmarkStart w:id="1006" w:name="_Toc517188785"/>
      <w:bookmarkStart w:id="1007" w:name="_Toc517112027"/>
      <w:bookmarkStart w:id="1008" w:name="_Toc516748165"/>
      <w:bookmarkStart w:id="1009" w:name="_Toc516747775"/>
      <w:bookmarkStart w:id="1010" w:name="_Toc516740147"/>
      <w:bookmarkStart w:id="1011" w:name="_Toc488058232"/>
      <w:r>
        <w:rPr/>
        <w:t>ANEXO XI.I – Demonstrativo da Participação dos CAU/UF e do CAU/BR nas Despesas do Centro de Serviços Compartilhados (Serviço Telefônico de Teleatendimento 0800/4007)</w:t>
      </w:r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r>
        <w:rPr/>
        <w:t xml:space="preserve"> </w:t>
      </w:r>
    </w:p>
    <w:p>
      <w:pPr>
        <w:sectPr>
          <w:headerReference w:type="default" r:id="rId64"/>
          <w:footerReference w:type="default" r:id="rId65"/>
          <w:footnotePr>
            <w:numFmt w:val="decimal"/>
          </w:footnotePr>
          <w:type w:val="nextPage"/>
          <w:pgSz w:w="11906" w:h="16838"/>
          <w:pgMar w:left="1418" w:right="1418" w:header="709" w:top="1418" w:footer="153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jc w:val="center"/>
        <w:rPr>
          <w:sz w:val="16"/>
          <w:szCs w:val="16"/>
        </w:rPr>
      </w:pPr>
      <w:r>
        <w:rPr/>
        <w:drawing>
          <wp:inline distT="0" distB="0" distL="0" distR="0">
            <wp:extent cx="2861310" cy="7038975"/>
            <wp:effectExtent l="0" t="0" r="0" b="0"/>
            <wp:docPr id="87" name="Imagem 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m 83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0" t="0" r="0" b="3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1701" w:hanging="1701"/>
        <w:rPr>
          <w:rFonts w:eastAsia="Arial Unicode MS" w:cs="Calibri"/>
          <w:sz w:val="24"/>
          <w:szCs w:val="24"/>
        </w:rPr>
      </w:pPr>
      <w:bookmarkStart w:id="1012" w:name="_Toc78546330"/>
      <w:bookmarkStart w:id="1013" w:name="_Toc45579804"/>
      <w:bookmarkStart w:id="1014" w:name="_Toc45572851"/>
      <w:bookmarkStart w:id="1015" w:name="_Toc45563844"/>
      <w:bookmarkStart w:id="1016" w:name="_Toc12225231"/>
      <w:bookmarkStart w:id="1017" w:name="_Toc12185119"/>
      <w:bookmarkStart w:id="1018" w:name="_Toc12119797"/>
      <w:bookmarkStart w:id="1019" w:name="_Toc517188786"/>
      <w:bookmarkStart w:id="1020" w:name="_Toc517112028"/>
      <w:bookmarkStart w:id="1021" w:name="_Toc516748166"/>
      <w:bookmarkStart w:id="1022" w:name="_Toc516747776"/>
      <w:bookmarkStart w:id="1023" w:name="_Toc516740148"/>
      <w:bookmarkStart w:id="1024" w:name="_Toc488058233"/>
      <w:r>
        <w:rPr>
          <w:rStyle w:val="Ttulo3Char"/>
          <w:rFonts w:eastAsia="Calibri" w:eastAsiaTheme="minorHAnsi"/>
        </w:rPr>
        <w:t xml:space="preserve">ANEXO XI.II – </w:t>
      </w:r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r>
        <w:rPr>
          <w:rStyle w:val="Ttulo3Char"/>
          <w:rFonts w:eastAsia="Calibri" w:eastAsiaTheme="minorHAnsi"/>
        </w:rPr>
        <w:t>Demonstrativo de Encontro de Contas - CSC – TAQ e 0800 – exercício 2021</w:t>
      </w:r>
      <w:bookmarkEnd w:id="1012"/>
      <w:r>
        <w:rPr/>
        <w:drawing>
          <wp:inline distT="0" distB="0" distL="0" distR="0">
            <wp:extent cx="3856355" cy="6892290"/>
            <wp:effectExtent l="0" t="0" r="0" b="0"/>
            <wp:docPr id="89" name="Imagem 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m 84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0" t="0" r="0" b="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sectPr>
          <w:headerReference w:type="default" r:id="rId67"/>
          <w:footerReference w:type="default" r:id="rId68"/>
          <w:footnotePr>
            <w:numFmt w:val="decimal"/>
          </w:footnotePr>
          <w:type w:val="nextPage"/>
          <w:pgSz w:w="11906" w:h="16838"/>
          <w:pgMar w:left="1134" w:right="1134" w:header="709" w:top="1701" w:footer="153" w:bottom="1134" w:gutter="0"/>
          <w:pgNumType w:fmt="decimal"/>
          <w:formProt w:val="false"/>
          <w:textDirection w:val="lrTb"/>
          <w:docGrid w:type="default" w:linePitch="360" w:charSpace="4096"/>
        </w:sectPr>
        <w:pStyle w:val="Ttulo3"/>
        <w:ind w:left="0" w:right="253" w:hanging="0"/>
        <w:rPr>
          <w:rFonts w:eastAsia="Arial Unicode MS" w:cs="Calibri"/>
          <w:sz w:val="24"/>
          <w:szCs w:val="24"/>
        </w:rPr>
      </w:pPr>
      <w:r>
        <w:rPr/>
      </w:r>
      <w:bookmarkStart w:id="1025" w:name="_Toc45579805"/>
      <w:bookmarkStart w:id="1026" w:name="_Toc45572852"/>
      <w:bookmarkStart w:id="1027" w:name="_Toc45563845"/>
      <w:bookmarkStart w:id="1028" w:name="_Toc12225232"/>
      <w:bookmarkStart w:id="1029" w:name="_Toc12185120"/>
      <w:bookmarkStart w:id="1030" w:name="_Toc12119798"/>
      <w:bookmarkStart w:id="1031" w:name="_Toc517188787"/>
      <w:bookmarkStart w:id="1032" w:name="_Toc517112029"/>
      <w:bookmarkStart w:id="1033" w:name="_Toc516748167"/>
      <w:bookmarkStart w:id="1034" w:name="_Toc516747777"/>
      <w:bookmarkStart w:id="1035" w:name="_Toc516740149"/>
      <w:bookmarkStart w:id="1036" w:name="_Toc485637272"/>
      <w:bookmarkStart w:id="1037" w:name="_Toc485396249"/>
      <w:bookmarkStart w:id="1038" w:name="_Toc485394021"/>
      <w:bookmarkStart w:id="1039" w:name="_Toc485391739"/>
      <w:bookmarkStart w:id="1040" w:name="_Anexo_XII_-"/>
      <w:bookmarkStart w:id="1041" w:name="_Toc45579805"/>
      <w:bookmarkStart w:id="1042" w:name="_Toc45572852"/>
      <w:bookmarkStart w:id="1043" w:name="_Toc45563845"/>
      <w:bookmarkStart w:id="1044" w:name="_Toc12225232"/>
      <w:bookmarkStart w:id="1045" w:name="_Toc12185120"/>
      <w:bookmarkStart w:id="1046" w:name="_Toc12119798"/>
      <w:bookmarkStart w:id="1047" w:name="_Toc517188787"/>
      <w:bookmarkStart w:id="1048" w:name="_Toc517112029"/>
      <w:bookmarkStart w:id="1049" w:name="_Toc516748167"/>
      <w:bookmarkStart w:id="1050" w:name="_Toc516747777"/>
      <w:bookmarkStart w:id="1051" w:name="_Toc516740149"/>
      <w:bookmarkStart w:id="1052" w:name="_Toc485637272"/>
      <w:bookmarkStart w:id="1053" w:name="_Toc485396249"/>
      <w:bookmarkStart w:id="1054" w:name="_Toc485394021"/>
      <w:bookmarkStart w:id="1055" w:name="_Toc485391739"/>
      <w:bookmarkStart w:id="1056" w:name="_Anexo_XII_-"/>
      <w:bookmarkEnd w:id="1056"/>
    </w:p>
    <w:p>
      <w:pPr>
        <w:pStyle w:val="Ttulo3"/>
        <w:ind w:left="0" w:right="253" w:hanging="0"/>
        <w:rPr>
          <w:rFonts w:eastAsia="Arial Unicode MS" w:cs="Calibri"/>
          <w:sz w:val="24"/>
          <w:szCs w:val="24"/>
        </w:rPr>
      </w:pPr>
      <w:bookmarkStart w:id="1057" w:name="_Toc45579805"/>
      <w:bookmarkStart w:id="1058" w:name="_Toc45572852"/>
      <w:bookmarkStart w:id="1059" w:name="_Toc45563845"/>
      <w:bookmarkStart w:id="1060" w:name="_Toc12225232"/>
      <w:bookmarkStart w:id="1061" w:name="_Toc12185120"/>
      <w:bookmarkStart w:id="1062" w:name="_Toc12119798"/>
      <w:bookmarkStart w:id="1063" w:name="_Toc517188787"/>
      <w:bookmarkStart w:id="1064" w:name="_Toc517112029"/>
      <w:bookmarkStart w:id="1065" w:name="_Toc516748167"/>
      <w:bookmarkStart w:id="1066" w:name="_Toc516747777"/>
      <w:bookmarkStart w:id="1067" w:name="_Toc516740149"/>
      <w:bookmarkStart w:id="1068" w:name="_Toc485637272"/>
      <w:bookmarkStart w:id="1069" w:name="_Toc485396249"/>
      <w:bookmarkStart w:id="1070" w:name="_Toc485394021"/>
      <w:bookmarkStart w:id="1071" w:name="_Toc485391739"/>
      <w:bookmarkStart w:id="1072" w:name="_Toc78546331"/>
      <w:r>
        <w:rPr/>
        <w:t xml:space="preserve">ANEXO XI.III – </w:t>
      </w:r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r>
        <w:rPr/>
        <w:t>Demonstrativo do Centro de Serviços Compartilhados – Demais Serviços Essenciais 2021</w:t>
      </w:r>
      <w:bookmarkEnd w:id="1072"/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  <w:drawing>
          <wp:inline distT="0" distB="0" distL="0" distR="0">
            <wp:extent cx="6120130" cy="5546725"/>
            <wp:effectExtent l="0" t="0" r="0" b="0"/>
            <wp:docPr id="91" name="Imagem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m 46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0" t="0" r="0" b="1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4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  <w:drawing>
          <wp:inline distT="0" distB="0" distL="0" distR="0">
            <wp:extent cx="6120130" cy="113665"/>
            <wp:effectExtent l="0" t="0" r="0" b="0"/>
            <wp:docPr id="92" name="Imagem 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m 82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120130" cy="906145"/>
            <wp:effectExtent l="0" t="0" r="0" b="0"/>
            <wp:docPr id="93" name="Imagem 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m 80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0" t="0" r="0" b="1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  <w:r>
        <w:br w:type="page"/>
      </w:r>
    </w:p>
    <w:p>
      <w:pPr>
        <w:pStyle w:val="Normal"/>
        <w:spacing w:lineRule="auto" w:line="360"/>
        <w:ind w:left="720" w:right="253"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Ttulo4"/>
        <w:jc w:val="center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</w:r>
      <w:bookmarkStart w:id="1073" w:name="_Toc487547264"/>
      <w:bookmarkStart w:id="1074" w:name="_Toc487547264"/>
    </w:p>
    <w:p>
      <w:pPr>
        <w:pStyle w:val="Ttulo4"/>
        <w:jc w:val="center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</w:r>
    </w:p>
    <w:p>
      <w:pPr>
        <w:pStyle w:val="Ttulo4"/>
        <w:jc w:val="center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</w:r>
    </w:p>
    <w:p>
      <w:pPr>
        <w:pStyle w:val="Ttulo4"/>
        <w:jc w:val="center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</w:r>
    </w:p>
    <w:p>
      <w:pPr>
        <w:pStyle w:val="Ttulo4"/>
        <w:jc w:val="center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</w:r>
    </w:p>
    <w:p>
      <w:pPr>
        <w:pStyle w:val="Ttulo4"/>
        <w:jc w:val="center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</w:r>
    </w:p>
    <w:p>
      <w:pPr>
        <w:pStyle w:val="Ttulo4"/>
        <w:jc w:val="center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</w:r>
    </w:p>
    <w:p>
      <w:pPr>
        <w:pStyle w:val="Ttulo4"/>
        <w:jc w:val="center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</w:r>
    </w:p>
    <w:p>
      <w:pPr>
        <w:pStyle w:val="Ttulo4"/>
        <w:jc w:val="both"/>
        <w:rPr>
          <w:rFonts w:eastAsia="Arial Unicode MS"/>
          <w:b/>
          <w:b/>
          <w:i w:val="false"/>
          <w:i w:val="false"/>
          <w:color w:val="006666"/>
          <w:sz w:val="44"/>
        </w:rPr>
      </w:pPr>
      <w:bookmarkStart w:id="1075" w:name="_Toc487547264"/>
      <w:r>
        <w:rPr>
          <w:rFonts w:eastAsia="Arial Unicode MS"/>
          <w:b/>
          <w:i w:val="false"/>
          <w:color w:val="006666"/>
          <w:sz w:val="44"/>
        </w:rPr>
        <w:t>ANEXO XII – DESPESAS DO CENTRO DE SERVIÇOS COMEPARTILHADOS (SERVIÇOS POR ADESÃO)</w:t>
      </w:r>
      <w:bookmarkEnd w:id="1075"/>
    </w:p>
    <w:p>
      <w:pPr>
        <w:pStyle w:val="Ttulo4"/>
        <w:jc w:val="center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</w:r>
    </w:p>
    <w:p>
      <w:pPr>
        <w:pStyle w:val="Ttulo4"/>
        <w:jc w:val="both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</w:r>
    </w:p>
    <w:p>
      <w:pPr>
        <w:sectPr>
          <w:headerReference w:type="default" r:id="rId72"/>
          <w:footerReference w:type="default" r:id="rId73"/>
          <w:footnotePr>
            <w:numFmt w:val="decimal"/>
          </w:footnotePr>
          <w:type w:val="nextPage"/>
          <w:pgSz w:w="11906" w:h="16838"/>
          <w:pgMar w:left="1134" w:right="1134" w:header="709" w:top="1701" w:footer="153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360"/>
        <w:ind w:left="720" w:right="253"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Ttulo3"/>
        <w:ind w:left="0" w:right="-144" w:hanging="0"/>
        <w:rPr>
          <w:rFonts w:eastAsia="Arial Unicode MS" w:cs="Calibri"/>
          <w:b/>
          <w:b/>
          <w:sz w:val="20"/>
          <w:szCs w:val="20"/>
        </w:rPr>
      </w:pPr>
      <w:bookmarkStart w:id="1076" w:name="_Toc78546332"/>
      <w:bookmarkStart w:id="1077" w:name="_Toc45579806"/>
      <w:bookmarkStart w:id="1078" w:name="_Toc517112032"/>
      <w:bookmarkStart w:id="1079" w:name="_Toc516748170"/>
      <w:bookmarkStart w:id="1080" w:name="_Toc516747780"/>
      <w:bookmarkStart w:id="1081" w:name="_Toc516740152"/>
      <w:bookmarkStart w:id="1082" w:name="_Toc488058236"/>
      <w:bookmarkStart w:id="1083" w:name="_Toc45572853"/>
      <w:bookmarkStart w:id="1084" w:name="_Toc45563848"/>
      <w:bookmarkStart w:id="1085" w:name="_Toc12225235"/>
      <w:bookmarkStart w:id="1086" w:name="_Toc12185123"/>
      <w:bookmarkStart w:id="1087" w:name="_Toc12119801"/>
      <w:bookmarkStart w:id="1088" w:name="_Toc517188790"/>
      <w:r>
        <w:rPr/>
        <w:t>ANEXO XII – Despesas do Centro de Serviços Compartilhados</w:t>
      </w:r>
      <w:bookmarkEnd w:id="1083"/>
      <w:bookmarkEnd w:id="1084"/>
      <w:bookmarkEnd w:id="1085"/>
      <w:bookmarkEnd w:id="1086"/>
      <w:bookmarkEnd w:id="1087"/>
      <w:bookmarkEnd w:id="1088"/>
      <w:r>
        <w:rPr/>
        <w:t xml:space="preserve"> </w:t>
      </w:r>
      <w:bookmarkStart w:id="1089" w:name="_Toc45572854"/>
      <w:bookmarkStart w:id="1090" w:name="_Toc45563849"/>
      <w:bookmarkStart w:id="1091" w:name="_Toc12225236"/>
      <w:bookmarkStart w:id="1092" w:name="_Toc12185124"/>
      <w:bookmarkStart w:id="1093" w:name="_Toc12119802"/>
      <w:bookmarkStart w:id="1094" w:name="_Toc517188791"/>
      <w:r>
        <w:rPr/>
        <w:t>(Serviços por Adesão - SISCAF)</w:t>
      </w:r>
      <w:bookmarkEnd w:id="1076"/>
      <w:bookmarkEnd w:id="1077"/>
      <w:bookmarkEnd w:id="1078"/>
      <w:bookmarkEnd w:id="1079"/>
      <w:bookmarkEnd w:id="1080"/>
      <w:bookmarkEnd w:id="1081"/>
      <w:bookmarkEnd w:id="1082"/>
      <w:bookmarkEnd w:id="1089"/>
      <w:bookmarkEnd w:id="1090"/>
      <w:bookmarkEnd w:id="1091"/>
      <w:bookmarkEnd w:id="1092"/>
      <w:bookmarkEnd w:id="1093"/>
      <w:bookmarkEnd w:id="1094"/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tbl>
      <w:tblPr>
        <w:tblW w:w="7500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2679"/>
        <w:gridCol w:w="1481"/>
        <w:gridCol w:w="3340"/>
      </w:tblGrid>
      <w:tr>
        <w:trPr>
          <w:trHeight w:val="960" w:hRule="atLeast"/>
        </w:trPr>
        <w:tc>
          <w:tcPr>
            <w:tcW w:w="750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20376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>SISCAF 2021</w:t>
            </w:r>
          </w:p>
        </w:tc>
      </w:tr>
      <w:tr>
        <w:trPr>
          <w:trHeight w:val="675" w:hRule="atLeast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20376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CAU/UF </w:t>
            </w:r>
          </w:p>
        </w:tc>
        <w:tc>
          <w:tcPr>
            <w:tcW w:w="3340" w:type="dxa"/>
            <w:tcBorders>
              <w:bottom w:val="single" w:sz="4" w:space="0" w:color="FFFFFF"/>
              <w:right w:val="single" w:sz="4" w:space="0" w:color="FFFFFF"/>
            </w:tcBorders>
            <w:shd w:color="000000" w:fill="20376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MANUTENÇÃO (R$) </w:t>
            </w:r>
          </w:p>
        </w:tc>
      </w:tr>
      <w:tr>
        <w:trPr>
          <w:trHeight w:val="375" w:hRule="atLeast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TO </w:t>
            </w:r>
          </w:p>
        </w:tc>
        <w:tc>
          <w:tcPr>
            <w:tcW w:w="334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4.969,48 </w:t>
            </w:r>
          </w:p>
        </w:tc>
      </w:tr>
      <w:tr>
        <w:trPr>
          <w:trHeight w:val="375" w:hRule="atLeast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>Soma (N)</w:t>
            </w:r>
          </w:p>
        </w:tc>
        <w:tc>
          <w:tcPr>
            <w:tcW w:w="3340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           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4.969,48 </w:t>
            </w:r>
          </w:p>
        </w:tc>
      </w:tr>
      <w:tr>
        <w:trPr>
          <w:trHeight w:val="375" w:hRule="atLeast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CE </w:t>
            </w:r>
          </w:p>
        </w:tc>
        <w:tc>
          <w:tcPr>
            <w:tcW w:w="334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16.670,80 </w:t>
            </w:r>
          </w:p>
        </w:tc>
      </w:tr>
      <w:tr>
        <w:trPr>
          <w:trHeight w:val="375" w:hRule="atLeast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PB </w:t>
            </w:r>
          </w:p>
        </w:tc>
        <w:tc>
          <w:tcPr>
            <w:tcW w:w="334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14.605,71 </w:t>
            </w:r>
          </w:p>
        </w:tc>
      </w:tr>
      <w:tr>
        <w:trPr>
          <w:trHeight w:val="375" w:hRule="atLeast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SE </w:t>
            </w:r>
          </w:p>
        </w:tc>
        <w:tc>
          <w:tcPr>
            <w:tcW w:w="334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7.745,33 </w:t>
            </w:r>
          </w:p>
        </w:tc>
      </w:tr>
      <w:tr>
        <w:trPr>
          <w:trHeight w:val="375" w:hRule="atLeast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>Soma (NE)</w:t>
            </w:r>
          </w:p>
        </w:tc>
        <w:tc>
          <w:tcPr>
            <w:tcW w:w="3340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         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39.021,85 </w:t>
            </w:r>
          </w:p>
        </w:tc>
      </w:tr>
      <w:tr>
        <w:trPr>
          <w:trHeight w:val="315" w:hRule="atLeast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RJ</w:t>
            </w:r>
          </w:p>
        </w:tc>
        <w:tc>
          <w:tcPr>
            <w:tcW w:w="334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151.073,60 </w:t>
            </w:r>
          </w:p>
        </w:tc>
      </w:tr>
      <w:tr>
        <w:trPr>
          <w:trHeight w:val="375" w:hRule="atLeast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>Soma (SE)</w:t>
            </w:r>
          </w:p>
        </w:tc>
        <w:tc>
          <w:tcPr>
            <w:tcW w:w="3340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       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151.073,60 </w:t>
            </w:r>
          </w:p>
        </w:tc>
      </w:tr>
      <w:tr>
        <w:trPr>
          <w:trHeight w:val="480" w:hRule="atLeast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20376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3340" w:type="dxa"/>
            <w:tcBorders>
              <w:bottom w:val="single" w:sz="4" w:space="0" w:color="FFFFFF"/>
              <w:right w:val="single" w:sz="4" w:space="0" w:color="FFFFFF"/>
            </w:tcBorders>
            <w:shd w:color="000000" w:fill="20376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                                  </w:t>
            </w: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195.064,93 </w:t>
            </w:r>
          </w:p>
        </w:tc>
      </w:tr>
      <w:tr>
        <w:trPr>
          <w:trHeight w:val="180" w:hRule="exact"/>
        </w:trPr>
        <w:tc>
          <w:tcPr>
            <w:tcW w:w="267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</w:r>
          </w:p>
        </w:tc>
        <w:tc>
          <w:tcPr>
            <w:tcW w:w="148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334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525" w:hRule="atLeast"/>
        </w:trPr>
        <w:tc>
          <w:tcPr>
            <w:tcW w:w="26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color="000000" w:fill="20376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>Serviço Sob Demanda</w:t>
            </w:r>
          </w:p>
        </w:tc>
        <w:tc>
          <w:tcPr>
            <w:tcW w:w="14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20376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>Custeio</w:t>
            </w:r>
          </w:p>
        </w:tc>
        <w:tc>
          <w:tcPr>
            <w:tcW w:w="334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20376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Valor 2021 (R$) </w:t>
            </w:r>
          </w:p>
        </w:tc>
      </w:tr>
      <w:tr>
        <w:trPr>
          <w:trHeight w:val="750" w:hRule="atLeast"/>
        </w:trPr>
        <w:tc>
          <w:tcPr>
            <w:tcW w:w="2679" w:type="dxa"/>
            <w:tcBorders>
              <w:left w:val="single" w:sz="4" w:space="0" w:color="FFFFFF"/>
              <w:bottom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Treinamentos </w:t>
            </w:r>
          </w:p>
        </w:tc>
        <w:tc>
          <w:tcPr>
            <w:tcW w:w="148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Sob Demanda</w:t>
            </w:r>
          </w:p>
        </w:tc>
        <w:tc>
          <w:tcPr>
            <w:tcW w:w="334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50.000,00 </w:t>
            </w:r>
          </w:p>
        </w:tc>
      </w:tr>
      <w:tr>
        <w:trPr>
          <w:trHeight w:val="480" w:hRule="atLeast"/>
        </w:trPr>
        <w:tc>
          <w:tcPr>
            <w:tcW w:w="4160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20376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3340" w:type="dxa"/>
            <w:tcBorders>
              <w:bottom w:val="single" w:sz="4" w:space="0" w:color="FFFFFF"/>
              <w:right w:val="single" w:sz="4" w:space="0" w:color="FFFFFF"/>
            </w:tcBorders>
            <w:shd w:color="000000" w:fill="20376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                                    </w:t>
            </w: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50.000,00 </w:t>
            </w:r>
          </w:p>
        </w:tc>
      </w:tr>
    </w:tbl>
    <w:p>
      <w:pPr>
        <w:pStyle w:val="Normal"/>
        <w:spacing w:lineRule="auto" w:line="360"/>
        <w:rPr>
          <w:lang w:eastAsia="pt-BR"/>
        </w:rPr>
      </w:pPr>
      <w:r>
        <w:rPr>
          <w:lang w:eastAsia="pt-BR"/>
        </w:rPr>
      </w:r>
    </w:p>
    <w:p>
      <w:pPr>
        <w:pStyle w:val="Normal"/>
        <w:tabs>
          <w:tab w:val="clear" w:pos="708"/>
          <w:tab w:val="left" w:pos="284" w:leader="none"/>
        </w:tabs>
        <w:jc w:val="both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Ttulo4"/>
        <w:jc w:val="both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  <w:t>ANEXO XIII – RESSARCIMENTO DE TAXAS BANCÁRIAS AOS CAU/UF</w:t>
      </w:r>
    </w:p>
    <w:p>
      <w:pPr>
        <w:pStyle w:val="Ttulo4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  <mc:AlternateContent>
          <mc:Choice Requires="wps">
            <w:drawing>
              <wp:anchor behindDoc="0" distT="3175" distB="3175" distL="231775" distR="231775" simplePos="0" locked="0" layoutInCell="0" allowOverlap="1" relativeHeight="93" wp14:anchorId="048614B4">
                <wp:simplePos x="0" y="0"/>
                <wp:positionH relativeFrom="margin">
                  <wp:posOffset>1868805</wp:posOffset>
                </wp:positionH>
                <wp:positionV relativeFrom="margin">
                  <wp:posOffset>3617595</wp:posOffset>
                </wp:positionV>
                <wp:extent cx="8606155" cy="825500"/>
                <wp:effectExtent l="23177" t="0" r="9208" b="9207"/>
                <wp:wrapSquare wrapText="bothSides"/>
                <wp:docPr id="95" name="Caixa de Texto 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605440" cy="824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algn="r" dir="10800000" dist="18720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XIII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cstheme="majorBidi" w:eastAsiaTheme="majorEastAsia" w:ascii="Bookman Old Style" w:hAnsi="Bookman Old Style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cstheme="majorBidi" w:eastAsiaTheme="majorEastAsia" w:ascii="Bookman Old Style" w:hAnsi="Bookman Old Style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lIns="228600" rIns="0" tIns="137160" bIns="13716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41" path="m0,0l-2147483645,0l-2147483645,-2147483646l0,-2147483646xe" fillcolor="white" stroked="f" style="position:absolute;margin-left:147.2pt;margin-top:284.85pt;width:677.55pt;height:64.9pt;mso-wrap-style:square;v-text-anchor:top;rotation:270;mso-position-horizontal-relative:margin;mso-position-vertical-relative:margin" wp14:anchorId="048614B4">
                <v:fill o:detectmouseclick="t" type="solid" color2="black"/>
                <v:stroke color="#3465a4" weight="6480" joinstyle="round" endcap="flat"/>
                <v:shadow on="t" obscured="f" color="#f2f2f2"/>
                <v:textbox>
                  <w:txbxContent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XIII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cstheme="majorBidi" w:eastAsiaTheme="majorEastAsia" w:ascii="Bookman Old Style" w:hAnsi="Bookman Old Style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cstheme="majorBidi" w:eastAsiaTheme="majorEastAsia" w:ascii="Bookman Old Style" w:hAnsi="Bookman Old Style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br w:type="page"/>
      </w:r>
    </w:p>
    <w:p>
      <w:pPr>
        <w:pStyle w:val="Ttulo3"/>
        <w:ind w:left="0" w:right="-144" w:hanging="0"/>
        <w:rPr>
          <w:rFonts w:eastAsia="Arial Unicode MS" w:cs="Calibri"/>
          <w:b/>
          <w:b/>
          <w:sz w:val="20"/>
          <w:szCs w:val="20"/>
        </w:rPr>
      </w:pPr>
      <w:bookmarkStart w:id="1095" w:name="_Toc78546333"/>
      <w:bookmarkStart w:id="1096" w:name="_Toc45579807"/>
      <w:bookmarkStart w:id="1097" w:name="_Toc45572855"/>
      <w:bookmarkStart w:id="1098" w:name="_Toc45563850"/>
      <w:bookmarkStart w:id="1099" w:name="_Toc12225237"/>
      <w:bookmarkStart w:id="1100" w:name="_Toc12185125"/>
      <w:bookmarkStart w:id="1101" w:name="_Toc12119803"/>
      <w:bookmarkStart w:id="1102" w:name="_Toc517188792"/>
      <w:bookmarkStart w:id="1103" w:name="_Toc517112033"/>
      <w:r>
        <w:rPr/>
        <w:t>ANEXO XIII– Ressarcimento de taxas bancárias aos CAU/UF</w:t>
      </w:r>
      <w:bookmarkEnd w:id="1103"/>
      <w:r>
        <w:rPr/>
        <w:t>, correspondente a 20% do total previsto</w:t>
      </w:r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</w:p>
    <w:tbl>
      <w:tblPr>
        <w:tblW w:w="906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2800"/>
        <w:gridCol w:w="2200"/>
        <w:gridCol w:w="2120"/>
        <w:gridCol w:w="1939"/>
      </w:tblGrid>
      <w:tr>
        <w:trPr>
          <w:trHeight w:val="750" w:hRule="atLeast"/>
        </w:trPr>
        <w:tc>
          <w:tcPr>
            <w:tcW w:w="9059" w:type="dxa"/>
            <w:gridSpan w:val="4"/>
            <w:tcBorders>
              <w:left w:val="single" w:sz="8" w:space="0" w:color="000000"/>
              <w:bottom w:val="single" w:sz="4" w:space="0" w:color="FFFFFF"/>
            </w:tcBorders>
            <w:shd w:color="000000" w:fill="0066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VALORES DE TARIFAS BANCÁRIAS </w:t>
              <w:br/>
              <w:t xml:space="preserve">CONVÊNIOS COM REGISTRO </w:t>
            </w:r>
          </w:p>
        </w:tc>
      </w:tr>
      <w:tr>
        <w:trPr>
          <w:trHeight w:val="109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0066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>CAU/UF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0066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>PROGRAMAÇÃO</w:t>
              <w:br/>
              <w:t>2021</w:t>
              <w:br/>
              <w:t xml:space="preserve">(A)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0066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>REPROGRAMAÇÃO 2021</w:t>
              <w:br/>
              <w:t xml:space="preserve">(B)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0066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FFFFFF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RESSARCIMENTO </w:t>
              <w:br/>
              <w:t>CAU/BR (20%)</w:t>
              <w:br/>
              <w:t xml:space="preserve">(C=B*20%)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AC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2.054,79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11.427,14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2.285,43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AM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4.589,51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25.378,92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5.075,78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AP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2.233,51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12.529,33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2.505,87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PA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6.402,40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35.622,24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7.124,45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RO 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6.011,06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26.213,26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5.242,65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RR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640,37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3.329,12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665,82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TO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3.095,71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15.118,87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3.023,77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>Soma (N)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25.027,35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129.618,88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25.923,78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AL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4.930,60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27.029,19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5.405,84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BA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10.342,91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61.126,85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12.225,37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CE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6.238,40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40.244,05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8.048,81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MA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3.085,11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18.316,40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3.663,28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PB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6.647,88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38.901,52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7.780,30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PE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10.760,96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62.003,02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12.400,60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PI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2.306,73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14.901,90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2.980,38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RN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6.192,00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33.698,77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6.739,75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SE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4.467,19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20.030,69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4.006,14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>Soma (NE)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54.971,78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316.252,39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63.250,48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DF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13.989,97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67.357,87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13.471,57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GO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19.021,94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91.604,37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18.320,87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MS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13.216,44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64.202,23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12.840,45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MT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18.132,15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83.888,57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16.777,71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>Soma (CO)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64.360,50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307.053,04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61.410,61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ES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10.783,10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54.286,74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10.857,35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MG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44.084,60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216.047,61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43.209,52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RJ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30.260,76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175.780,60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35.156,12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SP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161.344,14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878.966,96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175.793,39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>Soma (SE)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246.472,60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1.325.081,91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265.016,38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PR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53.264,92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251.475,13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50.295,03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RS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57.688,81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299.520,67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59.904,13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>SC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39.504,56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186.247,15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             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t-BR"/>
              </w:rPr>
              <w:t xml:space="preserve">37.249,43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>Soma (S)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150.458,29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737.242,95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147.448,59 </w:t>
            </w:r>
          </w:p>
        </w:tc>
      </w:tr>
      <w:tr>
        <w:trPr>
          <w:trHeight w:val="315" w:hRule="atLeast"/>
        </w:trPr>
        <w:tc>
          <w:tcPr>
            <w:tcW w:w="2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000000" w:fill="A6A6A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>Soma CAU/UF</w:t>
            </w:r>
          </w:p>
        </w:tc>
        <w:tc>
          <w:tcPr>
            <w:tcW w:w="2200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541.290,53 </w:t>
            </w:r>
          </w:p>
        </w:tc>
        <w:tc>
          <w:tcPr>
            <w:tcW w:w="2120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2.815.249,18 </w:t>
            </w:r>
          </w:p>
        </w:tc>
        <w:tc>
          <w:tcPr>
            <w:tcW w:w="1939" w:type="dxa"/>
            <w:tcBorders>
              <w:bottom w:val="single" w:sz="4" w:space="0" w:color="FFFFFF"/>
              <w:right w:val="single" w:sz="4" w:space="0" w:color="FFFFFF"/>
            </w:tcBorders>
            <w:shd w:color="000000" w:fill="BFBF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563.049,84 </w:t>
            </w:r>
          </w:p>
        </w:tc>
      </w:tr>
    </w:tbl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ListParagraph"/>
        <w:ind w:left="1134" w:hanging="0"/>
        <w:rPr>
          <w:rFonts w:eastAsia="Arial Unicode MS" w:cs="Calibri"/>
          <w:b/>
          <w:b/>
          <w:sz w:val="20"/>
          <w:szCs w:val="20"/>
        </w:rPr>
      </w:pPr>
      <w:r>
        <w:rPr/>
        <mc:AlternateContent>
          <mc:Choice Requires="wps">
            <w:drawing>
              <wp:anchor behindDoc="0" distT="3175" distB="3175" distL="231775" distR="231775" simplePos="0" locked="0" layoutInCell="0" allowOverlap="1" relativeHeight="94" wp14:anchorId="3024052C">
                <wp:simplePos x="0" y="0"/>
                <wp:positionH relativeFrom="margin">
                  <wp:posOffset>1438910</wp:posOffset>
                </wp:positionH>
                <wp:positionV relativeFrom="margin">
                  <wp:posOffset>3929380</wp:posOffset>
                </wp:positionV>
                <wp:extent cx="9277350" cy="825500"/>
                <wp:effectExtent l="15875" t="3175" r="0" b="0"/>
                <wp:wrapSquare wrapText="bothSides"/>
                <wp:docPr id="97" name="Caixa de Texto 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276840" cy="824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algn="r" dir="10800000" dist="18720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XIV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8370570" cy="8370570"/>
                                  <wp:effectExtent l="0" t="0" r="0" b="0"/>
                                  <wp:docPr id="99" name="Imagem 7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" name="Imagem 7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0570" cy="8370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cstheme="majorBidi" w:eastAsiaTheme="majorEastAsia" w:ascii="Bookman Old Style" w:hAnsi="Bookman Old Style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cstheme="majorBidi" w:eastAsiaTheme="majorEastAsia" w:ascii="Bookman Old Style" w:hAnsi="Bookman Old Style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lIns="228600" rIns="0" tIns="137160" bIns="13716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41" path="m0,0l-2147483645,0l-2147483645,-2147483646l0,-2147483646xe" fillcolor="white" stroked="f" style="position:absolute;margin-left:113.35pt;margin-top:309.4pt;width:730.4pt;height:64.9pt;mso-wrap-style:square;v-text-anchor:top;rotation:270;mso-position-horizontal-relative:margin;mso-position-vertical-relative:margin" wp14:anchorId="3024052C">
                <v:fill o:detectmouseclick="t" type="solid" color2="black"/>
                <v:stroke color="#3465a4" weight="6480" joinstyle="round" endcap="flat"/>
                <v:shadow on="t" obscured="f" color="#f2f2f2"/>
                <v:textbox>
                  <w:txbxContent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XIV</w:t>
                      </w:r>
                      <w:r>
                        <w:rPr/>
                        <w:drawing>
                          <wp:inline distT="0" distB="0" distL="0" distR="0">
                            <wp:extent cx="8370570" cy="8370570"/>
                            <wp:effectExtent l="0" t="0" r="0" b="0"/>
                            <wp:docPr id="100" name="Imagem 79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" name="Imagem 79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0570" cy="8370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cstheme="majorBidi" w:eastAsiaTheme="majorEastAsia" w:ascii="Bookman Old Style" w:hAnsi="Bookman Old Style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cstheme="majorBidi" w:eastAsiaTheme="majorEastAsia" w:ascii="Bookman Old Style" w:hAnsi="Bookman Old Style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eastAsia="Arial Unicode MS" w:cs="Calibri"/>
          <w:b/>
          <w:b/>
          <w:sz w:val="20"/>
          <w:szCs w:val="20"/>
        </w:rPr>
      </w:pPr>
      <w:r>
        <w:rPr/>
      </w:r>
    </w:p>
    <w:p>
      <w:pPr>
        <w:pStyle w:val="Ttulo4"/>
        <w:rPr>
          <w:rFonts w:eastAsia="Arial Unicode MS"/>
          <w:b/>
          <w:b/>
          <w:i w:val="false"/>
          <w:i w:val="false"/>
          <w:color w:val="006666"/>
          <w:sz w:val="44"/>
        </w:rPr>
      </w:pPr>
      <w:r>
        <w:rPr>
          <w:rFonts w:eastAsia="Arial Unicode MS"/>
          <w:b/>
          <w:i w:val="false"/>
          <w:color w:val="006666"/>
          <w:sz w:val="44"/>
        </w:rPr>
        <w:t>ANEXO XIV - Indicadores Institucionais e de Resultados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sectPr>
          <w:headerReference w:type="default" r:id="rId75"/>
          <w:footerReference w:type="default" r:id="rId76"/>
          <w:footnotePr>
            <w:numFmt w:val="decimal"/>
          </w:footnotePr>
          <w:type w:val="nextPage"/>
          <w:pgSz w:w="11906" w:h="16838"/>
          <w:pgMar w:left="1418" w:right="1418" w:header="709" w:top="1418" w:footer="153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36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Ttulo3"/>
        <w:ind w:left="993" w:right="1982" w:hanging="993"/>
        <w:rPr>
          <w:rFonts w:eastAsia="Arial Unicode MS" w:cs="Calibri"/>
          <w:sz w:val="24"/>
          <w:szCs w:val="24"/>
        </w:rPr>
      </w:pPr>
      <w:bookmarkStart w:id="1104" w:name="_Toc78546334"/>
      <w:bookmarkStart w:id="1105" w:name="_Toc45579808"/>
      <w:bookmarkStart w:id="1106" w:name="_Toc45572856"/>
      <w:bookmarkStart w:id="1107" w:name="_Toc45563851"/>
      <w:bookmarkStart w:id="1108" w:name="_Toc12225238"/>
      <w:bookmarkStart w:id="1109" w:name="_Toc12185126"/>
      <w:bookmarkStart w:id="1110" w:name="_Toc12119804"/>
      <w:bookmarkStart w:id="1111" w:name="_Toc517188793"/>
      <w:bookmarkStart w:id="1112" w:name="_Toc517112034"/>
      <w:r>
        <w:rPr/>
        <w:t>ANEXO XIV.I - Indicadores Institucionais e de Resultados</w:t>
      </w:r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sectPr>
          <w:headerReference w:type="default" r:id="rId78"/>
          <w:footerReference w:type="default" r:id="rId79"/>
          <w:footnotePr>
            <w:numFmt w:val="decimal"/>
          </w:footnotePr>
          <w:type w:val="nextPage"/>
          <w:pgSz w:orient="landscape" w:w="16838" w:h="11906"/>
          <w:pgMar w:left="1134" w:right="1701" w:header="709" w:top="1701" w:footer="153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/>
        <w:drawing>
          <wp:inline distT="0" distB="0" distL="0" distR="0">
            <wp:extent cx="8891905" cy="1594485"/>
            <wp:effectExtent l="0" t="0" r="0" b="0"/>
            <wp:docPr id="102" name="Imagem 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m 85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Ttulo4"/>
        <w:rPr>
          <w:rFonts w:eastAsia="Arial Unicode MS"/>
          <w:b/>
          <w:b/>
          <w:i w:val="false"/>
          <w:i w:val="false"/>
          <w:color w:val="006666"/>
          <w:sz w:val="44"/>
        </w:rPr>
      </w:pPr>
      <w:bookmarkStart w:id="1113" w:name="_Toc487547247"/>
      <w:bookmarkStart w:id="1114" w:name="_Toc424658690"/>
      <w:r>
        <w:rPr>
          <w:rFonts w:eastAsia="Arial Unicode MS"/>
          <w:b/>
          <w:i w:val="false"/>
          <w:color w:val="006666"/>
          <w:sz w:val="44"/>
        </w:rPr>
        <w:t>ANEXO XIV.II – Indicadores de Resultado</w:t>
      </w:r>
      <w:bookmarkEnd w:id="1113"/>
      <w:bookmarkEnd w:id="1114"/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sectPr>
          <w:headerReference w:type="default" r:id="rId80"/>
          <w:footerReference w:type="default" r:id="rId81"/>
          <w:footnotePr>
            <w:numFmt w:val="decimal"/>
          </w:footnotePr>
          <w:type w:val="nextPage"/>
          <w:pgSz w:w="11906" w:h="16838"/>
          <w:pgMar w:left="1701" w:right="1134" w:header="709" w:top="1701" w:footer="153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ind w:hanging="284"/>
        <w:rPr>
          <w:b/>
          <w:b/>
          <w:bCs/>
          <w:color w:val="006666"/>
          <w:sz w:val="32"/>
          <w:szCs w:val="32"/>
        </w:rPr>
      </w:pPr>
      <w:bookmarkStart w:id="1115" w:name="_Toc12185127"/>
      <w:bookmarkStart w:id="1116" w:name="_Toc12119805"/>
      <w:bookmarkStart w:id="1117" w:name="_Toc517188794"/>
      <w:bookmarkStart w:id="1118" w:name="_Toc517112035"/>
      <w:r>
        <w:rPr>
          <w:b/>
          <w:bCs/>
          <w:color w:val="006666"/>
          <w:sz w:val="32"/>
          <w:szCs w:val="32"/>
        </w:rPr>
        <w:t>ANEXO XIV.II.a – Indicadores de Resultado</w:t>
      </w:r>
      <w:bookmarkEnd w:id="1115"/>
      <w:bookmarkEnd w:id="1116"/>
      <w:bookmarkEnd w:id="1117"/>
      <w:bookmarkEnd w:id="1118"/>
      <w:r>
        <w:rPr>
          <w:b/>
          <w:bCs/>
          <w:color w:val="006666"/>
          <w:sz w:val="32"/>
          <w:szCs w:val="32"/>
        </w:rPr>
        <w:t xml:space="preserve"> </w:t>
      </w:r>
    </w:p>
    <w:p>
      <w:pPr>
        <w:pStyle w:val="Normal"/>
        <w:spacing w:lineRule="auto" w:line="360"/>
        <w:ind w:left="-284" w:hanging="0"/>
        <w:jc w:val="both"/>
        <w:rPr>
          <w:rFonts w:eastAsia="Arial Unicode MS" w:cs="Calibri"/>
          <w:sz w:val="24"/>
          <w:szCs w:val="24"/>
        </w:rPr>
      </w:pPr>
      <w:r>
        <w:rPr/>
        <w:drawing>
          <wp:inline distT="0" distB="0" distL="0" distR="0">
            <wp:extent cx="6029325" cy="7893685"/>
            <wp:effectExtent l="0" t="0" r="0" b="0"/>
            <wp:docPr id="106" name="Imagem 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m 88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ind w:left="-284" w:hanging="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ind w:hanging="284"/>
        <w:rPr>
          <w:b/>
          <w:b/>
          <w:bCs/>
          <w:color w:val="006666"/>
          <w:sz w:val="32"/>
          <w:szCs w:val="32"/>
        </w:rPr>
      </w:pPr>
      <w:r>
        <w:rPr>
          <w:b/>
          <w:bCs/>
          <w:color w:val="006666"/>
          <w:sz w:val="32"/>
          <w:szCs w:val="32"/>
        </w:rPr>
        <w:t xml:space="preserve">ANEXO XIV.II.b – Indicadores de Resultado </w:t>
      </w:r>
    </w:p>
    <w:p>
      <w:pPr>
        <w:pStyle w:val="Normal"/>
        <w:spacing w:lineRule="auto" w:line="360"/>
        <w:ind w:left="-567" w:firstLine="425"/>
        <w:jc w:val="both"/>
        <w:rPr>
          <w:rFonts w:eastAsia="Arial Unicode MS" w:cs="Calibri"/>
          <w:sz w:val="24"/>
          <w:szCs w:val="24"/>
        </w:rPr>
      </w:pPr>
      <w:r>
        <w:rPr/>
        <w:drawing>
          <wp:inline distT="0" distB="0" distL="0" distR="0">
            <wp:extent cx="6029325" cy="7849870"/>
            <wp:effectExtent l="0" t="0" r="0" b="0"/>
            <wp:docPr id="107" name="Imagem 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m 90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8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  <w:bCs/>
          <w:color w:val="006666"/>
          <w:sz w:val="32"/>
          <w:szCs w:val="32"/>
        </w:rPr>
      </w:pPr>
      <w:r>
        <w:rPr>
          <w:b/>
          <w:bCs/>
          <w:color w:val="006666"/>
          <w:sz w:val="32"/>
          <w:szCs w:val="32"/>
        </w:rPr>
        <w:t xml:space="preserve">ANEXO XIV.II.c – Indicadores de Resultado </w:t>
      </w:r>
    </w:p>
    <w:p>
      <w:pPr>
        <w:pStyle w:val="Normal"/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/>
        <w:drawing>
          <wp:inline distT="0" distB="0" distL="0" distR="0">
            <wp:extent cx="6029325" cy="4164965"/>
            <wp:effectExtent l="0" t="0" r="0" b="0"/>
            <wp:docPr id="108" name="Imagem 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m 91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85"/>
          <w:footerReference w:type="default" r:id="rId86"/>
          <w:footnotePr>
            <w:numFmt w:val="decimal"/>
          </w:footnotePr>
          <w:type w:val="nextPage"/>
          <w:pgSz w:w="11906" w:h="16838"/>
          <w:pgMar w:left="1418" w:right="993" w:header="709" w:top="1418" w:footer="153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jc w:val="both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ListParagraph"/>
        <w:numPr>
          <w:ilvl w:val="0"/>
          <w:numId w:val="1"/>
        </w:numPr>
        <w:jc w:val="both"/>
        <w:rPr>
          <w:rFonts w:eastAsia="Times New Roman"/>
          <w:b/>
          <w:b/>
          <w:sz w:val="36"/>
          <w:szCs w:val="36"/>
        </w:rPr>
      </w:pPr>
      <w:r>
        <mc:AlternateContent>
          <mc:Choice Requires="wps">
            <w:drawing>
              <wp:anchor behindDoc="0" distT="3175" distB="3175" distL="231775" distR="231775" simplePos="0" locked="0" layoutInCell="0" allowOverlap="1" relativeHeight="90" wp14:anchorId="13168EDB">
                <wp:simplePos x="0" y="0"/>
                <wp:positionH relativeFrom="rightMargin">
                  <wp:posOffset>-4075430</wp:posOffset>
                </wp:positionH>
                <wp:positionV relativeFrom="margin">
                  <wp:posOffset>4019550</wp:posOffset>
                </wp:positionV>
                <wp:extent cx="9067165" cy="825500"/>
                <wp:effectExtent l="25082" t="0" r="7303" b="7302"/>
                <wp:wrapSquare wrapText="bothSides"/>
                <wp:docPr id="110" name="Caixa de Texto 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066600" cy="824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algn="r" dir="10800000" dist="18720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xV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cstheme="majorBidi" w:eastAsiaTheme="majorEastAsia" w:ascii="Bookman Old Style" w:hAnsi="Bookman Old Style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cstheme="majorBidi" w:eastAsiaTheme="majorEastAsia" w:ascii="Bookman Old Style" w:hAnsi="Bookman Old Style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240"/>
                              <w:jc w:val="center"/>
                              <w:rPr>
                                <w:rFonts w:ascii="Bookman Old Style" w:hAnsi="Bookman Old Style" w:eastAsia="" w:cs="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" w:cs="" w:ascii="Bookman Old Style" w:hAnsi="Bookman Old Style" w:cstheme="majorBidi" w:eastAsiaTheme="majorEastAsia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lIns="228600" rIns="0" tIns="137160" bIns="13716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41" path="m0,0l-2147483645,0l-2147483645,-2147483646l0,-2147483646xe" fillcolor="white" stroked="f" style="position:absolute;margin-left:-320.9pt;margin-top:316.5pt;width:713.85pt;height:64.9pt;mso-wrap-style:square;v-text-anchor:top;rotation:270;mso-position-horizontal-relative:page;mso-position-vertical-relative:margin" wp14:anchorId="13168EDB">
                <v:fill o:detectmouseclick="t" type="solid" color2="black"/>
                <v:stroke color="#3465a4" weight="6480" joinstyle="round" endcap="flat"/>
                <v:shadow on="t" obscured="f" color="#f2f2f2"/>
                <v:textbox>
                  <w:txbxContent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xV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cstheme="majorBidi" w:eastAsiaTheme="majorEastAsia" w:ascii="Bookman Old Style" w:hAnsi="Bookman Old Style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cstheme="majorBidi" w:eastAsiaTheme="majorEastAsia" w:ascii="Bookman Old Style" w:hAnsi="Bookman Old Style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  <w:p>
                      <w:pPr>
                        <w:pStyle w:val="Contedodoquadro"/>
                        <w:spacing w:lineRule="auto" w:line="240" w:before="0" w:after="240"/>
                        <w:jc w:val="center"/>
                        <w:rPr>
                          <w:rFonts w:ascii="Bookman Old Style" w:hAnsi="Bookman Old Style" w:eastAsia="" w:cs="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eastAsia="" w:cs="" w:ascii="Bookman Old Style" w:hAnsi="Bookman Old Style" w:cstheme="majorBidi" w:eastAsiaTheme="majorEastAsia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eastAsia="Arial Unicode MS" w:cs="" w:ascii="Calibri Light" w:hAnsi="Calibri Light" w:asciiTheme="majorHAnsi" w:cstheme="majorBidi" w:hAnsiTheme="majorHAnsi"/>
          <w:b/>
          <w:iCs/>
          <w:color w:val="006666"/>
          <w:sz w:val="44"/>
          <w:lang w:eastAsia="en-US"/>
        </w:rPr>
        <w:t>ANEXO XV - Modelo para Elaboração da Reprogramação do Plano de Ação e Orçamento – Exercício 2021</w:t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tabs>
          <w:tab w:val="clear" w:pos="708"/>
          <w:tab w:val="left" w:pos="4680" w:leader="none"/>
        </w:tabs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tabs>
          <w:tab w:val="clear" w:pos="708"/>
          <w:tab w:val="left" w:pos="4680" w:leader="none"/>
        </w:tabs>
        <w:rPr>
          <w:rFonts w:eastAsia="Arial Unicode MS" w:cs="Calibri"/>
          <w:sz w:val="24"/>
          <w:szCs w:val="24"/>
        </w:rPr>
      </w:pPr>
      <w:r>
        <w:rPr/>
        <w:tab/>
      </w:r>
    </w:p>
    <w:p>
      <w:pPr>
        <w:pStyle w:val="Normal"/>
        <w:tabs>
          <w:tab w:val="clear" w:pos="708"/>
          <w:tab w:val="left" w:pos="4680" w:leader="none"/>
        </w:tabs>
        <w:rPr>
          <w:rFonts w:eastAsia="Arial Unicode MS" w:cs="Calibri"/>
          <w:sz w:val="24"/>
          <w:szCs w:val="24"/>
        </w:rPr>
      </w:pPr>
      <w:r>
        <w:rPr/>
      </w:r>
    </w:p>
    <w:p>
      <w:pPr>
        <w:sectPr>
          <w:headerReference w:type="default" r:id="rId87"/>
          <w:footerReference w:type="default" r:id="rId88"/>
          <w:footnotePr>
            <w:numFmt w:val="decimal"/>
          </w:footnotePr>
          <w:type w:val="nextPage"/>
          <w:pgSz w:w="11906" w:h="16838"/>
          <w:pgMar w:left="1418" w:right="1418" w:header="709" w:top="1418" w:footer="153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tabs>
          <w:tab w:val="clear" w:pos="708"/>
          <w:tab w:val="left" w:pos="4680" w:leader="none"/>
        </w:tabs>
        <w:rPr>
          <w:rFonts w:eastAsia="Arial Unicode MS" w:cs="Calibri"/>
          <w:sz w:val="24"/>
          <w:szCs w:val="24"/>
        </w:rPr>
      </w:pPr>
      <w:r>
        <w:rPr/>
      </w:r>
    </w:p>
    <w:p>
      <w:pPr>
        <w:pStyle w:val="Ttulo3"/>
        <w:ind w:left="720" w:right="253" w:hanging="720"/>
        <w:rPr>
          <w:rFonts w:eastAsia="Arial Unicode MS" w:cs="Calibri"/>
          <w:sz w:val="24"/>
          <w:szCs w:val="24"/>
        </w:rPr>
      </w:pPr>
      <w:bookmarkStart w:id="1119" w:name="_Toc78546335"/>
      <w:bookmarkStart w:id="1120" w:name="_Toc45579809"/>
      <w:bookmarkStart w:id="1121" w:name="_Toc45572857"/>
      <w:bookmarkStart w:id="1122" w:name="_Toc45563852"/>
      <w:bookmarkStart w:id="1123" w:name="_Toc12225239"/>
      <w:bookmarkStart w:id="1124" w:name="_Toc12185128"/>
      <w:bookmarkStart w:id="1125" w:name="_Toc12119806"/>
      <w:bookmarkStart w:id="1126" w:name="_Toc517188795"/>
      <w:bookmarkStart w:id="1127" w:name="_Toc517112036"/>
      <w:bookmarkStart w:id="1128" w:name="_Toc517110606"/>
      <w:bookmarkStart w:id="1129" w:name="_Toc516748171"/>
      <w:bookmarkStart w:id="1130" w:name="_Toc516747781"/>
      <w:bookmarkStart w:id="1131" w:name="_Toc516740153"/>
      <w:bookmarkStart w:id="1132" w:name="_Toc485637277"/>
      <w:bookmarkStart w:id="1133" w:name="_Toc485396254"/>
      <w:bookmarkStart w:id="1134" w:name="_Toc485394026"/>
      <w:bookmarkStart w:id="1135" w:name="_Toc485391744"/>
      <w:r>
        <w:rPr>
          <w:rFonts w:eastAsia="Arial Unicode MS"/>
        </w:rPr>
        <w:t xml:space="preserve">ANEXO XV – </w:t>
      </w:r>
      <w:r>
        <w:rPr/>
        <w:t xml:space="preserve">Modelo para Elaboração da Reprogramação do Plano de Ação e Orçamento – </w:t>
      </w:r>
      <w:bookmarkEnd w:id="1129"/>
      <w:bookmarkEnd w:id="1130"/>
      <w:bookmarkEnd w:id="1131"/>
      <w:bookmarkEnd w:id="1132"/>
      <w:bookmarkEnd w:id="1133"/>
      <w:bookmarkEnd w:id="1134"/>
      <w:bookmarkEnd w:id="1135"/>
      <w:r>
        <w:rPr/>
        <w:t>Reprogramação 20</w:t>
      </w:r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r>
        <w:rPr/>
        <w:t>2</w:t>
      </w:r>
      <w:bookmarkEnd w:id="1120"/>
      <w:r>
        <w:rPr/>
        <w:t>1</w:t>
      </w:r>
      <w:bookmarkEnd w:id="1119"/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tbl>
      <w:tblPr>
        <w:tblW w:w="10738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692"/>
        <w:gridCol w:w="890"/>
        <w:gridCol w:w="889"/>
        <w:gridCol w:w="890"/>
        <w:gridCol w:w="890"/>
        <w:gridCol w:w="891"/>
        <w:gridCol w:w="890"/>
        <w:gridCol w:w="890"/>
        <w:gridCol w:w="889"/>
        <w:gridCol w:w="828"/>
        <w:gridCol w:w="62"/>
        <w:gridCol w:w="890"/>
        <w:gridCol w:w="146"/>
      </w:tblGrid>
      <w:tr>
        <w:trPr>
          <w:trHeight w:val="720" w:hRule="atLeast"/>
        </w:trPr>
        <w:tc>
          <w:tcPr>
            <w:tcW w:w="10591" w:type="dxa"/>
            <w:gridSpan w:val="1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</w:r>
          </w:p>
          <w:tbl>
            <w:tblPr>
              <w:tblW w:w="9472" w:type="dxa"/>
              <w:jc w:val="left"/>
              <w:tblInd w:w="0" w:type="dxa"/>
              <w:tblLayout w:type="fixed"/>
              <w:tblCellMar>
                <w:top w:w="0" w:type="dxa"/>
                <w:left w:w="10" w:type="dxa"/>
                <w:bottom w:w="0" w:type="dxa"/>
                <w:right w:w="0" w:type="dxa"/>
              </w:tblCellMar>
              <w:tblLook w:firstRow="1" w:noVBand="1" w:lastRow="0" w:firstColumn="1" w:lastColumn="0" w:noHBand="0" w:val="04a0"/>
            </w:tblPr>
            <w:tblGrid>
              <w:gridCol w:w="9472"/>
            </w:tblGrid>
            <w:tr>
              <w:trPr>
                <w:trHeight w:val="704" w:hRule="atLeast"/>
              </w:trPr>
              <w:tc>
                <w:tcPr>
                  <w:tcW w:w="9472" w:type="dxa"/>
                  <w:tcBorders>
                    <w:left w:val="single" w:sz="8" w:space="0" w:color="000000"/>
                  </w:tcBorders>
                  <w:shd w:color="000000" w:fill="2A5664" w:val="clear"/>
                  <w:vAlign w:val="center"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jc w:val="center"/>
                    <w:rPr>
                      <w:rFonts w:ascii="Calibri" w:hAnsi="Calibri" w:eastAsia="Times New Roman" w:cs="Calibri"/>
                      <w:b/>
                      <w:b/>
                      <w:bCs/>
                      <w:color w:val="FFFFFF"/>
                      <w:sz w:val="32"/>
                      <w:szCs w:val="32"/>
                      <w:lang w:eastAsia="pt-BR"/>
                    </w:rPr>
                  </w:pPr>
                  <w:r>
                    <w:rPr>
                      <w:rFonts w:eastAsia="Times New Roman" w:cs="Calibri"/>
                      <w:b/>
                      <w:bCs/>
                      <w:color w:val="FFFFFF"/>
                      <w:sz w:val="32"/>
                      <w:szCs w:val="32"/>
                      <w:lang w:eastAsia="pt-BR"/>
                    </w:rPr>
                    <w:t>MAPA ESTRATÉGICO CAU/UF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</w:r>
          </w:p>
        </w:tc>
        <w:tc>
          <w:tcPr>
            <w:tcW w:w="146" w:type="dxa"/>
            <w:tcBorders/>
          </w:tcPr>
          <w:p>
            <w:pPr>
              <w:pStyle w:val="Normal"/>
              <w:widowControl w:val="false"/>
              <w:spacing w:before="0" w:after="160"/>
              <w:rPr>
                <w:rFonts w:eastAsia="Arial Unicode MS" w:cs="Calibri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488" w:hRule="atLeast"/>
        </w:trPr>
        <w:tc>
          <w:tcPr>
            <w:tcW w:w="10591" w:type="dxa"/>
            <w:gridSpan w:val="12"/>
            <w:vMerge w:val="restart"/>
            <w:tcBorders/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drawing>
                <wp:anchor behindDoc="0" distT="0" distB="0" distL="0" distR="0" simplePos="0" locked="0" layoutInCell="1" allowOverlap="1" relativeHeight="100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54610</wp:posOffset>
                  </wp:positionV>
                  <wp:extent cx="5962650" cy="4543425"/>
                  <wp:effectExtent l="0" t="0" r="0" b="0"/>
                  <wp:wrapNone/>
                  <wp:docPr id="113" name="Imagem 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m 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  <w:t> </w:t>
            </w:r>
          </w:p>
        </w:tc>
        <w:tc>
          <w:tcPr>
            <w:tcW w:w="146" w:type="dxa"/>
            <w:tcBorders/>
          </w:tcPr>
          <w:p>
            <w:pPr>
              <w:pStyle w:val="Normal"/>
              <w:widowControl w:val="false"/>
              <w:spacing w:before="0" w:after="160"/>
              <w:rPr>
                <w:rFonts w:eastAsia="Arial Unicode MS" w:cs="Calibri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15" w:hRule="atLeast"/>
        </w:trPr>
        <w:tc>
          <w:tcPr>
            <w:tcW w:w="10591" w:type="dxa"/>
            <w:gridSpan w:val="12"/>
            <w:vMerge w:val="continue"/>
            <w:tcBorders>
              <w:lef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="Calibri"/>
                <w:color w:val="000000"/>
                <w:sz w:val="40"/>
                <w:szCs w:val="40"/>
                <w:lang w:eastAsia="pt-BR"/>
              </w:rPr>
            </w:r>
          </w:p>
        </w:tc>
        <w:tc>
          <w:tcPr>
            <w:tcW w:w="14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855" w:hRule="atLeas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720" w:hRule="atLeast"/>
        </w:trPr>
        <w:tc>
          <w:tcPr>
            <w:tcW w:w="9639" w:type="dxa"/>
            <w:gridSpan w:val="10"/>
            <w:tcBorders>
              <w:left w:val="single" w:sz="8" w:space="0" w:color="000000"/>
            </w:tcBorders>
            <w:shd w:color="000000" w:fill="2A566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FFFFFF"/>
                <w:sz w:val="32"/>
                <w:szCs w:val="32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32"/>
                <w:szCs w:val="32"/>
                <w:lang w:eastAsia="pt-BR"/>
              </w:rPr>
              <w:t xml:space="preserve">Objetivos de Desenvolvimento Sustentável </w:t>
            </w:r>
          </w:p>
        </w:tc>
        <w:tc>
          <w:tcPr>
            <w:tcW w:w="1098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atLeas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</w:r>
          </w:p>
          <w:tbl>
            <w:tblPr>
              <w:tblW w:w="960" w:type="dxa"/>
              <w:jc w:val="left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firstRow="1" w:noVBand="1" w:lastRow="0" w:firstColumn="1" w:lastColumn="0" w:noHBand="0" w:val="04a0"/>
            </w:tblPr>
            <w:tblGrid>
              <w:gridCol w:w="960"/>
            </w:tblGrid>
            <w:tr>
              <w:trPr>
                <w:trHeight w:val="300" w:hRule="exact"/>
              </w:trPr>
              <w:tc>
                <w:tcPr>
                  <w:tcW w:w="960" w:type="dxa"/>
                  <w:tcBorders/>
                  <w:shd w:color="auto" w:fill="auto" w:val="clear"/>
                  <w:vAlign w:val="bottom"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Calibri" w:hAnsi="Calibri" w:eastAsia="Times New Roman" w:cs="Calibri"/>
                      <w:color w:val="000000"/>
                      <w:lang w:eastAsia="pt-BR"/>
                    </w:rPr>
                  </w:pPr>
                  <w:r>
                    <w:rPr>
                      <w:rFonts w:eastAsia="Times New Roman" w:cs="Calibri"/>
                      <w:color w:val="000000"/>
                      <w:lang w:eastAsia="pt-BR"/>
                    </w:rPr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165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  <w:drawing>
                <wp:anchor behindDoc="1" distT="0" distB="0" distL="0" distR="0" simplePos="0" locked="0" layoutInCell="1" allowOverlap="1" relativeHeight="109">
                  <wp:simplePos x="0" y="0"/>
                  <wp:positionH relativeFrom="column">
                    <wp:posOffset>-2702560</wp:posOffset>
                  </wp:positionH>
                  <wp:positionV relativeFrom="paragraph">
                    <wp:posOffset>-392430</wp:posOffset>
                  </wp:positionV>
                  <wp:extent cx="5759450" cy="3455670"/>
                  <wp:effectExtent l="0" t="0" r="0" b="0"/>
                  <wp:wrapNone/>
                  <wp:docPr id="114" name="Imagem 9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m 9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45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  <w:tr>
        <w:trPr>
          <w:trHeight w:val="300" w:hRule="exact"/>
        </w:trPr>
        <w:tc>
          <w:tcPr>
            <w:tcW w:w="169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8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  <w:tc>
          <w:tcPr>
            <w:tcW w:w="14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t-BR"/>
              </w:rPr>
            </w:r>
          </w:p>
        </w:tc>
      </w:tr>
    </w:tbl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sectPr>
          <w:headerReference w:type="default" r:id="rId91"/>
          <w:footerReference w:type="default" r:id="rId92"/>
          <w:footnotePr>
            <w:numFmt w:val="decimal"/>
          </w:footnotePr>
          <w:type w:val="nextPage"/>
          <w:pgSz w:w="11906" w:h="16838"/>
          <w:pgMar w:left="1418" w:right="1418" w:header="709" w:top="1418" w:footer="153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tabs>
          <w:tab w:val="clear" w:pos="708"/>
          <w:tab w:val="left" w:pos="7215" w:leader="none"/>
        </w:tabs>
        <w:rPr>
          <w:b/>
          <w:b/>
          <w:bCs/>
          <w:color w:val="006666"/>
        </w:rPr>
      </w:pPr>
      <w:r>
        <w:rPr>
          <w:rFonts w:eastAsia="Arial Unicode MS"/>
          <w:b/>
          <w:bCs/>
          <w:color w:val="006666"/>
        </w:rPr>
        <w:t xml:space="preserve">ANEXO XV – </w:t>
      </w:r>
      <w:r>
        <w:rPr>
          <w:b/>
          <w:bCs/>
          <w:color w:val="006666"/>
        </w:rPr>
        <w:t>Modelo para Elaboração da Reprogramação do Plano de Ação e Orçamento – Reprogramação 2021</w:t>
      </w:r>
    </w:p>
    <w:p>
      <w:pPr>
        <w:sectPr>
          <w:headerReference w:type="default" r:id="rId94"/>
          <w:footerReference w:type="default" r:id="rId95"/>
          <w:footnotePr>
            <w:numFmt w:val="decimal"/>
          </w:footnotePr>
          <w:type w:val="nextPage"/>
          <w:pgSz w:orient="landscape" w:w="16838" w:h="11906"/>
          <w:pgMar w:left="1418" w:right="1418" w:header="709" w:top="1418" w:footer="153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tabs>
          <w:tab w:val="clear" w:pos="708"/>
          <w:tab w:val="left" w:pos="7215" w:leader="none"/>
        </w:tabs>
        <w:ind w:left="-284" w:hanging="0"/>
        <w:rPr>
          <w:rFonts w:eastAsia="Arial Unicode MS" w:cs="Calibri"/>
          <w:sz w:val="24"/>
          <w:szCs w:val="24"/>
        </w:rPr>
      </w:pPr>
      <w:r>
        <w:rPr/>
        <w:drawing>
          <wp:inline distT="0" distB="0" distL="0" distR="0">
            <wp:extent cx="9512935" cy="5391150"/>
            <wp:effectExtent l="0" t="0" r="0" b="0"/>
            <wp:docPr id="116" name="Imagem 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m 97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93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7215" w:leader="none"/>
        </w:tabs>
        <w:rPr>
          <w:lang w:eastAsia="pt-BR"/>
        </w:rPr>
      </w:pPr>
      <w:r>
        <w:rPr>
          <w:rFonts w:eastAsia="Arial Unicode MS"/>
          <w:b/>
          <w:bCs/>
          <w:color w:val="006666"/>
        </w:rPr>
        <w:t xml:space="preserve">ANEXO XV – </w:t>
      </w:r>
      <w:r>
        <w:rPr>
          <w:b/>
          <w:bCs/>
          <w:color w:val="006666"/>
        </w:rPr>
        <w:t>Modelo para Elaboração da Reprogramação do Plano de Ação e Orçamento – Reprogramação 2021</w:t>
      </w:r>
    </w:p>
    <w:p>
      <w:pPr>
        <w:sectPr>
          <w:headerReference w:type="default" r:id="rId97"/>
          <w:footerReference w:type="default" r:id="rId98"/>
          <w:footnotePr>
            <w:numFmt w:val="decimal"/>
          </w:footnotePr>
          <w:type w:val="nextPage"/>
          <w:pgSz w:orient="landscape" w:w="16838" w:h="11906"/>
          <w:pgMar w:left="1418" w:right="1418" w:header="709" w:top="1418" w:footer="153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tabs>
          <w:tab w:val="clear" w:pos="708"/>
          <w:tab w:val="left" w:pos="7215" w:leader="none"/>
        </w:tabs>
        <w:rPr>
          <w:lang w:eastAsia="pt-BR"/>
        </w:rPr>
      </w:pPr>
      <w:r>
        <w:rPr/>
        <w:drawing>
          <wp:inline distT="0" distB="0" distL="0" distR="0">
            <wp:extent cx="8891270" cy="5191125"/>
            <wp:effectExtent l="0" t="0" r="0" b="0"/>
            <wp:docPr id="118" name="Imagem 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m 98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7215" w:leader="none"/>
        </w:tabs>
        <w:ind w:left="-284" w:hanging="0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tabs>
          <w:tab w:val="clear" w:pos="708"/>
          <w:tab w:val="left" w:pos="7215" w:leader="none"/>
        </w:tabs>
        <w:rPr>
          <w:lang w:eastAsia="pt-BR"/>
        </w:rPr>
      </w:pPr>
      <w:r>
        <w:rPr>
          <w:rFonts w:eastAsia="Arial Unicode MS"/>
          <w:b/>
          <w:bCs/>
          <w:color w:val="006666"/>
        </w:rPr>
        <w:t xml:space="preserve">ANEXO XV – </w:t>
      </w:r>
      <w:r>
        <w:rPr>
          <w:b/>
          <w:bCs/>
          <w:color w:val="006666"/>
        </w:rPr>
        <w:t>Modelo para Elaboração da Reprogramação do Plano de Ação e Orçamento – Reprogramação 2021</w:t>
      </w:r>
    </w:p>
    <w:p>
      <w:pPr>
        <w:pStyle w:val="Normal"/>
        <w:tabs>
          <w:tab w:val="clear" w:pos="708"/>
          <w:tab w:val="left" w:pos="7215" w:leader="none"/>
        </w:tabs>
        <w:ind w:left="-284" w:hanging="0"/>
        <w:jc w:val="center"/>
        <w:rPr>
          <w:rFonts w:eastAsia="Arial Unicode MS" w:cs="Calibri"/>
          <w:sz w:val="24"/>
          <w:szCs w:val="24"/>
        </w:rPr>
      </w:pPr>
      <w:r>
        <w:rPr/>
        <w:drawing>
          <wp:inline distT="0" distB="0" distL="0" distR="0">
            <wp:extent cx="5438140" cy="7722235"/>
            <wp:effectExtent l="0" t="0" r="0" b="0"/>
            <wp:docPr id="120" name="Imagem 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m 99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00"/>
          <w:footerReference w:type="default" r:id="rId101"/>
          <w:footnotePr>
            <w:numFmt w:val="decimal"/>
          </w:footnotePr>
          <w:type w:val="nextPage"/>
          <w:pgSz w:w="11906" w:h="16838"/>
          <w:pgMar w:left="1418" w:right="1418" w:header="709" w:top="1418" w:footer="153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tabs>
          <w:tab w:val="clear" w:pos="708"/>
          <w:tab w:val="left" w:pos="7215" w:leader="none"/>
        </w:tabs>
        <w:ind w:left="-284" w:hanging="0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tabs>
          <w:tab w:val="clear" w:pos="708"/>
          <w:tab w:val="left" w:pos="7215" w:leader="none"/>
        </w:tabs>
        <w:rPr>
          <w:lang w:eastAsia="pt-BR"/>
        </w:rPr>
      </w:pPr>
      <w:r>
        <w:rPr>
          <w:rFonts w:eastAsia="Arial Unicode MS"/>
          <w:b/>
          <w:bCs/>
          <w:color w:val="006666"/>
        </w:rPr>
        <w:t xml:space="preserve">ANEXO XV – </w:t>
      </w:r>
      <w:r>
        <w:rPr>
          <w:b/>
          <w:bCs/>
          <w:color w:val="006666"/>
        </w:rPr>
        <w:t>Modelo para Elaboração da Reprogramação do Plano de Ação e Orçamento – Reprogramação 2021</w:t>
      </w:r>
    </w:p>
    <w:p>
      <w:pPr>
        <w:pStyle w:val="Normal"/>
        <w:tabs>
          <w:tab w:val="clear" w:pos="708"/>
          <w:tab w:val="left" w:pos="7215" w:leader="none"/>
        </w:tabs>
        <w:ind w:left="-567" w:firstLine="567"/>
        <w:rPr>
          <w:rFonts w:eastAsia="Arial Unicode MS" w:cs="Calibri"/>
          <w:sz w:val="24"/>
          <w:szCs w:val="24"/>
        </w:rPr>
      </w:pPr>
      <w:r>
        <w:rPr/>
        <w:drawing>
          <wp:inline distT="0" distB="0" distL="0" distR="0">
            <wp:extent cx="8828405" cy="5309870"/>
            <wp:effectExtent l="0" t="0" r="0" b="0"/>
            <wp:docPr id="122" name="Imagem 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m 101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405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7215" w:leader="none"/>
        </w:tabs>
        <w:rPr>
          <w:lang w:eastAsia="pt-BR"/>
        </w:rPr>
      </w:pPr>
      <w:r>
        <w:rPr>
          <w:rFonts w:eastAsia="Arial Unicode MS"/>
          <w:b/>
          <w:bCs/>
          <w:color w:val="006666"/>
        </w:rPr>
        <w:t xml:space="preserve">ANEXO XV – </w:t>
      </w:r>
      <w:r>
        <w:rPr>
          <w:b/>
          <w:bCs/>
          <w:color w:val="006666"/>
        </w:rPr>
        <w:t>Modelo para Elaboração da Reprogramação do Plano de Ação e Orçamento – Reprogramação 2021</w:t>
      </w:r>
    </w:p>
    <w:p>
      <w:pPr>
        <w:pStyle w:val="Normal"/>
        <w:tabs>
          <w:tab w:val="clear" w:pos="708"/>
          <w:tab w:val="left" w:pos="7215" w:leader="none"/>
        </w:tabs>
        <w:ind w:left="-567" w:hanging="0"/>
        <w:rPr>
          <w:rFonts w:eastAsia="Arial Unicode MS" w:cs="Calibri"/>
          <w:sz w:val="24"/>
          <w:szCs w:val="24"/>
        </w:rPr>
      </w:pPr>
      <w:r>
        <w:rPr/>
      </w:r>
    </w:p>
    <w:p>
      <w:pPr>
        <w:sectPr>
          <w:headerReference w:type="default" r:id="rId104"/>
          <w:footerReference w:type="default" r:id="rId105"/>
          <w:footnotePr>
            <w:numFmt w:val="decimal"/>
          </w:footnotePr>
          <w:type w:val="nextPage"/>
          <w:pgSz w:orient="landscape" w:w="16838" w:h="11906"/>
          <w:pgMar w:left="1418" w:right="1418" w:header="709" w:top="1418" w:footer="153" w:bottom="141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tabs>
          <w:tab w:val="clear" w:pos="708"/>
          <w:tab w:val="left" w:pos="7215" w:leader="none"/>
        </w:tabs>
        <w:ind w:left="-567" w:firstLine="567"/>
        <w:rPr>
          <w:rFonts w:eastAsia="Arial Unicode MS" w:cs="Calibri"/>
          <w:sz w:val="24"/>
          <w:szCs w:val="24"/>
        </w:rPr>
      </w:pPr>
      <w:r>
        <w:rPr/>
        <w:drawing>
          <wp:inline distT="0" distB="0" distL="0" distR="0">
            <wp:extent cx="8943340" cy="4540250"/>
            <wp:effectExtent l="0" t="0" r="0" b="0"/>
            <wp:docPr id="123" name="Imagem 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m 103" descr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340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  <w:t>Orientações de Preenchimento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1.</w:t>
        <w:tab/>
        <w:t>DADOS TÉCNICOS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1.1</w:t>
        <w:tab/>
        <w:t>Unidade Responsável</w:t>
      </w:r>
      <w:r>
        <w:rPr>
          <w:rFonts w:eastAsia="Arial Unicode MS" w:cs="Calibri"/>
          <w:sz w:val="24"/>
          <w:szCs w:val="24"/>
        </w:rPr>
        <w:t>: nome da Unidade Organizacional, na forma do organograma, Colegiado e o nome das Comissões Permanentes e Especiais que serão responsáveis pelo projeto/atividade.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1.2</w:t>
        <w:tab/>
        <w:t>Tipo</w:t>
      </w:r>
      <w:r>
        <w:rPr>
          <w:rFonts w:eastAsia="Arial Unicode MS" w:cs="Calibri"/>
          <w:sz w:val="24"/>
          <w:szCs w:val="24"/>
        </w:rPr>
        <w:t xml:space="preserve"> (Projeto / Atividade/ Projeto Específico):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•</w:t>
      </w:r>
      <w:r>
        <w:rPr>
          <w:rFonts w:eastAsia="Arial Unicode MS" w:cs="Calibri"/>
          <w:sz w:val="24"/>
          <w:szCs w:val="24"/>
        </w:rPr>
        <w:tab/>
      </w:r>
      <w:r>
        <w:rPr>
          <w:rFonts w:eastAsia="Arial Unicode MS" w:cs="Calibri"/>
          <w:b/>
          <w:sz w:val="24"/>
          <w:szCs w:val="24"/>
        </w:rPr>
        <w:t>Projeto (P)</w:t>
      </w:r>
      <w:r>
        <w:rPr>
          <w:rFonts w:eastAsia="Arial Unicode MS" w:cs="Calibri"/>
          <w:sz w:val="24"/>
          <w:szCs w:val="24"/>
        </w:rPr>
        <w:t>: nome do Projeto. O Projeto compreende um conjunto de ações inter-relacionadas, coordenadas e orientadas para o alcance de resultados, com prazo e recursos definidos.</w:t>
      </w:r>
    </w:p>
    <w:p>
      <w:pPr>
        <w:pStyle w:val="ListParagraph"/>
        <w:numPr>
          <w:ilvl w:val="0"/>
          <w:numId w:val="24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Projeto Específico(PE)</w:t>
      </w:r>
      <w:r>
        <w:rPr>
          <w:rFonts w:eastAsia="Arial Unicode MS" w:cs="Calibri"/>
          <w:sz w:val="24"/>
          <w:szCs w:val="24"/>
        </w:rPr>
        <w:t>: projeto planejado para i</w:t>
      </w:r>
      <w:r>
        <w:rPr>
          <w:rFonts w:cs="Calibri"/>
          <w:sz w:val="24"/>
          <w:szCs w:val="24"/>
        </w:rPr>
        <w:t xml:space="preserve">ncorporação dos recursos oriundos de </w:t>
      </w:r>
      <w:r>
        <w:rPr>
          <w:rFonts w:cs="Calibri"/>
          <w:b/>
          <w:bCs/>
          <w:sz w:val="24"/>
          <w:szCs w:val="24"/>
        </w:rPr>
        <w:t>Saldos de Exercícios Anteriores</w:t>
      </w:r>
      <w:r>
        <w:rPr>
          <w:rFonts w:cs="Calibri"/>
          <w:sz w:val="24"/>
          <w:szCs w:val="24"/>
        </w:rPr>
        <w:t>, de acordo com a deliberação plenária nº 84-03/2018</w:t>
      </w:r>
      <w:r>
        <w:rPr>
          <w:rFonts w:eastAsia="Arial Unicode MS" w:cs="Calibri"/>
          <w:sz w:val="24"/>
          <w:szCs w:val="24"/>
        </w:rPr>
        <w:t>, que prevê “a</w:t>
      </w:r>
      <w:r>
        <w:rPr>
          <w:rFonts w:eastAsia="Arial Unicode MS" w:cs="Calibri"/>
          <w:i/>
          <w:iCs/>
          <w:sz w:val="24"/>
          <w:szCs w:val="24"/>
        </w:rPr>
        <w:t>utorizar a utilização de superávit financeiro, apurado no balanço patrimonial do exercício imediatamente anterior, em despesas de capital e em projetos específicos com seus respectivos Planos de Trabalho e com duração não superior a um exercício, de caráter não continuado, em ações cuja realização seja suportada por despesas de natureza corrente”.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•</w:t>
      </w:r>
      <w:r>
        <w:rPr>
          <w:rFonts w:eastAsia="Arial Unicode MS" w:cs="Calibri"/>
          <w:sz w:val="24"/>
          <w:szCs w:val="24"/>
        </w:rPr>
        <w:tab/>
      </w:r>
      <w:r>
        <w:rPr>
          <w:rFonts w:eastAsia="Arial Unicode MS" w:cs="Calibri"/>
          <w:b/>
          <w:sz w:val="24"/>
          <w:szCs w:val="24"/>
        </w:rPr>
        <w:t>Atividade (A)</w:t>
      </w:r>
      <w:r>
        <w:rPr>
          <w:rFonts w:eastAsia="Arial Unicode MS" w:cs="Calibri"/>
          <w:sz w:val="24"/>
          <w:szCs w:val="24"/>
        </w:rPr>
        <w:t>: nome da Atividade. A Atividade compreende um conjunto de ações permanentes e rotineiras relacionadas à gestão do CAU/BR, que contribuem para a melhoria do desempenho da Entidade.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1.3</w:t>
        <w:tab/>
        <w:t xml:space="preserve">FA: </w:t>
      </w:r>
      <w:r>
        <w:rPr>
          <w:rFonts w:eastAsia="Arial Unicode MS" w:cs="Calibri"/>
          <w:sz w:val="24"/>
          <w:szCs w:val="24"/>
        </w:rPr>
        <w:t>fundo de apoio. Informar se o projeto ou atividade será financiada por recursos oriundos do fundo de apoio dos CAU/UF, apenas para os CAU/Básicos.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1.4</w:t>
        <w:tab/>
        <w:t>Denominação:</w:t>
      </w:r>
      <w:r>
        <w:rPr>
          <w:rFonts w:eastAsia="Arial Unicode MS" w:cs="Calibri"/>
          <w:sz w:val="24"/>
          <w:szCs w:val="24"/>
        </w:rPr>
        <w:t xml:space="preserve"> nome do Projeto ou Atividade.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1.5</w:t>
        <w:tab/>
        <w:t>Objetivo Geral</w:t>
      </w:r>
      <w:r>
        <w:rPr>
          <w:rFonts w:eastAsia="Arial Unicode MS" w:cs="Calibri"/>
          <w:sz w:val="24"/>
          <w:szCs w:val="24"/>
        </w:rPr>
        <w:t xml:space="preserve"> (Projeto / Atividade): é a motivação geral e a síntese dos efeitos que se deseja produzir, no horizonte de tempo do projeto. Deve ser desafiador e </w:t>
      </w:r>
      <w:r>
        <w:rPr>
          <w:rFonts w:eastAsia="Arial Unicode MS" w:cs="Calibri"/>
          <w:b/>
          <w:sz w:val="24"/>
          <w:szCs w:val="24"/>
        </w:rPr>
        <w:t>possuir uma ligação direta com as necessidades do público-alvo</w:t>
      </w:r>
      <w:r>
        <w:rPr>
          <w:rFonts w:eastAsia="Arial Unicode MS" w:cs="Calibri"/>
          <w:sz w:val="24"/>
          <w:szCs w:val="24"/>
        </w:rPr>
        <w:t xml:space="preserve"> (interno e externo). Por isso, sua formulação está associada à transformação desejada, traduzida pelos resultados do projeto.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As perguntas a serem respondidas com esta formulação são: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•</w:t>
      </w:r>
      <w:r>
        <w:rPr>
          <w:rFonts w:eastAsia="Arial Unicode MS" w:cs="Calibri"/>
          <w:sz w:val="24"/>
          <w:szCs w:val="24"/>
        </w:rPr>
        <w:tab/>
        <w:t>O que se quer agregar com este projeto?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•</w:t>
      </w:r>
      <w:r>
        <w:rPr>
          <w:rFonts w:eastAsia="Arial Unicode MS" w:cs="Calibri"/>
          <w:sz w:val="24"/>
          <w:szCs w:val="24"/>
        </w:rPr>
        <w:tab/>
        <w:t xml:space="preserve">Quais os ganhos a serem perseguidos? 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•</w:t>
      </w:r>
      <w:r>
        <w:rPr>
          <w:rFonts w:eastAsia="Arial Unicode MS" w:cs="Calibri"/>
          <w:sz w:val="24"/>
          <w:szCs w:val="24"/>
        </w:rPr>
        <w:tab/>
        <w:t>Quais as mudanças a serem alcançadas, na situação atual, ao final do projeto?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Nas </w:t>
      </w:r>
      <w:r>
        <w:rPr>
          <w:rFonts w:eastAsia="Arial Unicode MS" w:cs="Calibri"/>
          <w:b/>
          <w:sz w:val="24"/>
          <w:szCs w:val="24"/>
        </w:rPr>
        <w:t>Atividades</w:t>
      </w:r>
      <w:r>
        <w:rPr>
          <w:rFonts w:eastAsia="Arial Unicode MS" w:cs="Calibri"/>
          <w:sz w:val="24"/>
          <w:szCs w:val="24"/>
        </w:rPr>
        <w:t xml:space="preserve">, o </w:t>
      </w:r>
      <w:r>
        <w:rPr>
          <w:rFonts w:eastAsia="Arial Unicode MS" w:cs="Calibri"/>
          <w:b/>
          <w:sz w:val="24"/>
          <w:szCs w:val="24"/>
        </w:rPr>
        <w:t>Objetivo Geral</w:t>
      </w:r>
      <w:r>
        <w:rPr>
          <w:rFonts w:eastAsia="Arial Unicode MS" w:cs="Calibri"/>
          <w:sz w:val="24"/>
          <w:szCs w:val="24"/>
        </w:rPr>
        <w:t xml:space="preserve"> deve descrever a finalidade da atividade, com concisão e precisão.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2.</w:t>
        <w:tab/>
        <w:t>DADOS ESTRATÉGICOS</w:t>
      </w:r>
      <w:r>
        <w:rPr>
          <w:rFonts w:eastAsia="Arial Unicode MS" w:cs="Calibri"/>
          <w:sz w:val="24"/>
          <w:szCs w:val="24"/>
        </w:rPr>
        <w:t xml:space="preserve"> 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2.1 Objetivos Estratégicos</w:t>
      </w:r>
      <w:r>
        <w:rPr>
          <w:rFonts w:eastAsia="Arial Unicode MS" w:cs="Calibri"/>
          <w:sz w:val="24"/>
          <w:szCs w:val="24"/>
        </w:rPr>
        <w:t>: neste campo deve ser informado o objetivo estratégico ao qual o projeto ou atividade está diretamente relacionado (principal). Foram estabelecidos 14 (</w:t>
      </w:r>
      <w:r>
        <w:rPr>
          <w:rFonts w:eastAsia="Arial Unicode MS" w:cs="Calibri"/>
          <w:b/>
          <w:bCs/>
          <w:sz w:val="24"/>
          <w:szCs w:val="24"/>
        </w:rPr>
        <w:t>quatorze</w:t>
      </w:r>
      <w:r>
        <w:rPr>
          <w:rFonts w:eastAsia="Arial Unicode MS" w:cs="Calibri"/>
          <w:sz w:val="24"/>
          <w:szCs w:val="24"/>
        </w:rPr>
        <w:t>) objetivos estratégicos: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Processos Internos (Excelência Organizacional)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Tornar a fiscalização um vetor de melhoria do exercício da Arquitetura e Urbanismo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Assegurar a eficácia no atendimento e no relacionamento com os arquitetos e urbanistas e a sociedade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Estimular o conhecimento, o uso de processos criativos e a difusão das melhores práticas em Arquitetura e Urbanismo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Processos Internos (Relações Institucionais)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Influenciar as diretrizes do ensino de Arquitetura e Urbanismo e sua formação continuada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Garantir a participação dos arquitetos e urbanistas no planejamento territorial e na gestão urbana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Estimular a produção da arquitetura e urbanismo como política de Estado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Processos Internos (Relação com a Sociedade)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Assegurar a eficácia no relacionamento e comunicação com a sociedade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Promover o exercício ético e qualificado da profissão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Fomentar o acesso da sociedade à Arquitetura e Urbanismo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Alavancadores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Assegurar a sustentabilidade financeira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Aprimorar e inovar os processos e as ações</w:t>
      </w:r>
    </w:p>
    <w:p>
      <w:pPr>
        <w:pStyle w:val="ListParagraph"/>
        <w:spacing w:lineRule="auto" w:line="360"/>
        <w:ind w:left="1571" w:hanging="0"/>
        <w:jc w:val="both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</w:r>
    </w:p>
    <w:p>
      <w:pPr>
        <w:pStyle w:val="ListParagraph"/>
        <w:spacing w:lineRule="auto" w:line="360"/>
        <w:ind w:left="851" w:hanging="0"/>
        <w:jc w:val="both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Pessoas e Infraestrutura</w:t>
      </w:r>
    </w:p>
    <w:p>
      <w:pPr>
        <w:pStyle w:val="ListParagraph"/>
        <w:numPr>
          <w:ilvl w:val="0"/>
          <w:numId w:val="2"/>
        </w:numPr>
        <w:spacing w:lineRule="auto" w:line="360"/>
        <w:ind w:left="1211" w:firstLine="65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Desenvolver competências de dirigentes e colaboradores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Construir cultura organizacional adequada à estratégia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Ter sistemas de informação e infraestrutura que viabilizem a gestão e o atendimento dos arquitetos e urbanistas e a sociedade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bCs/>
          <w:sz w:val="24"/>
          <w:szCs w:val="24"/>
        </w:rPr>
        <w:t xml:space="preserve">2.2 Objetivos de Desenvolvimento Sustentável (Facultativo): </w:t>
      </w:r>
      <w:r>
        <w:rPr>
          <w:rFonts w:eastAsia="Arial Unicode MS" w:cs="Calibri"/>
          <w:sz w:val="24"/>
          <w:szCs w:val="24"/>
        </w:rPr>
        <w:t>são uma agenda mundial adotada durante a Cúpula das Nações Unidas sobre o Desenvolvimento Sustentável, composta por 17 objetivos e 169 metas a serem atingidos até 2030. Ao firmar o compromisso de incluir os ODS à sua estratégia, o CAU abre caminho para melhorar sua atuação e atender aos anseios da sociedade por projetos e serviços alinhados aos princípios da sustentabilidade. Neste contexto, torna-se facultativo o enquadramento dos projetos e atividades nos ODS em 2020.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2.3 Resultados</w:t>
      </w:r>
      <w:r>
        <w:rPr>
          <w:rFonts w:eastAsia="Arial Unicode MS" w:cs="Calibri"/>
          <w:sz w:val="24"/>
          <w:szCs w:val="24"/>
        </w:rPr>
        <w:t>: os resultados são os efeitos que devem ser produzidos com a execução do projeto/atividade, dentro do seu horizonte do tempo. Refletem o objetivo geral do projeto/atividade e representam o seu desdobramento em metas mensuráveis.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 xml:space="preserve">Resultado = Transformação + Indicador + Meta + Prazo 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3.</w:t>
        <w:tab/>
        <w:t xml:space="preserve"> DADOS ORÇAMENTÁRIOS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3.1</w:t>
        <w:tab/>
        <w:t>Custos de Projeto / Atividade</w:t>
      </w:r>
      <w:r>
        <w:rPr>
          <w:rFonts w:eastAsia="Arial Unicode MS" w:cs="Calibri"/>
          <w:sz w:val="24"/>
          <w:szCs w:val="24"/>
        </w:rPr>
        <w:t>: indicar o custo total do projeto/atividade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4.</w:t>
        <w:tab/>
        <w:t>PREENCHIMENTO DO PLANO DE AÇÃO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 xml:space="preserve">I. Mapa Estratégico e ODS - </w:t>
      </w:r>
      <w:r>
        <w:rPr>
          <w:rFonts w:eastAsia="Arial Unicode MS" w:cs="Calibri"/>
          <w:sz w:val="24"/>
          <w:szCs w:val="24"/>
        </w:rPr>
        <w:t xml:space="preserve">Selecionar os objetivos estratégicos prioritários em âmbito local trabalhados em 2020. Os objetivos estratégicos em âmbito nacional (Fiscalização, Comunicação e AU como Política de Estado) devem ser obrigatoriamente trabalhados. Os objetivos de Desenvolvimento Sustentável são facultativos. 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 xml:space="preserve">II. Indicadores e Metas </w:t>
      </w:r>
      <w:r>
        <w:rPr>
          <w:rFonts w:eastAsia="Arial Unicode MS" w:cs="Calibri"/>
          <w:sz w:val="24"/>
          <w:szCs w:val="24"/>
        </w:rPr>
        <w:t>– definir as metas dos indicadores. Os Indicadores devem ser vinculados aos objetivos estratégicos priorizados no Mapa Estratégico do CAU/UF, ou seja, os indicadores dos objetivos estratégicos escolhidos no Mapa Estratégico devem ser priorizados.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IV. Quadro Geral</w:t>
      </w:r>
      <w:r>
        <w:rPr>
          <w:rFonts w:eastAsia="Arial Unicode MS" w:cs="Calibri"/>
          <w:sz w:val="24"/>
          <w:szCs w:val="24"/>
        </w:rPr>
        <w:t xml:space="preserve"> – Demonstrar a proposta do plano de ação resumida. 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 xml:space="preserve">V. Limites estratégicos </w:t>
      </w:r>
      <w:r>
        <w:rPr>
          <w:rFonts w:eastAsia="Arial Unicode MS" w:cs="Calibri"/>
          <w:sz w:val="24"/>
          <w:szCs w:val="24"/>
        </w:rPr>
        <w:t xml:space="preserve">– Demonstrar os limites de Aplicação dos Recursos Estratégicos definidos no Plano de ação. 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VI. Usos e Fontes</w:t>
      </w:r>
      <w:r>
        <w:rPr>
          <w:rFonts w:eastAsia="Arial Unicode MS" w:cs="Calibri"/>
          <w:sz w:val="24"/>
          <w:szCs w:val="24"/>
        </w:rPr>
        <w:t>– demonstrar os valores das fontes e os usos dos recursos. Para as receitas de Arrecadação - anuidades, RRT, taxas e multas, devem ser considerados os valores constantes das Diretrizes.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VII. Plano de Desembolso por Elemento de Despesas.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Os itens de custo devem ser:</w:t>
      </w:r>
    </w:p>
    <w:p>
      <w:pPr>
        <w:pStyle w:val="ListParagraph"/>
        <w:numPr>
          <w:ilvl w:val="0"/>
          <w:numId w:val="22"/>
        </w:numPr>
        <w:spacing w:lineRule="auto" w:line="360"/>
        <w:jc w:val="both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 xml:space="preserve">Pessoal (Salários, Encargos e Benefícios) </w:t>
      </w:r>
    </w:p>
    <w:p>
      <w:pPr>
        <w:pStyle w:val="Normal"/>
        <w:spacing w:lineRule="auto" w:line="360"/>
        <w:ind w:firstLine="15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 xml:space="preserve">a) Pessoal e Encargos: </w:t>
      </w:r>
      <w:r>
        <w:rPr>
          <w:rFonts w:eastAsia="Arial Unicode MS" w:cs="Calibri"/>
          <w:sz w:val="24"/>
          <w:szCs w:val="24"/>
        </w:rPr>
        <w:t xml:space="preserve"> compreende salários; gratificações; 13º salário; férias; 1/3 férias, abono e horas extras; INSS; FGTS e PIS; vale transporte, auxílio alimentação, plano de saúde e outros benefícios.</w:t>
      </w:r>
    </w:p>
    <w:p>
      <w:pPr>
        <w:pStyle w:val="Normal"/>
        <w:spacing w:lineRule="auto" w:line="360"/>
        <w:ind w:firstLine="15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b) Diárias</w:t>
      </w:r>
      <w:r>
        <w:rPr>
          <w:rFonts w:eastAsia="Arial Unicode MS" w:cs="Calibri"/>
          <w:sz w:val="24"/>
          <w:szCs w:val="24"/>
        </w:rPr>
        <w:t xml:space="preserve"> – compreende diárias de funcionários com vínculo empregatício com o Conselho.</w:t>
      </w:r>
    </w:p>
    <w:p>
      <w:pPr>
        <w:pStyle w:val="ListParagraph"/>
        <w:numPr>
          <w:ilvl w:val="0"/>
          <w:numId w:val="22"/>
        </w:numPr>
        <w:spacing w:lineRule="auto" w:line="360"/>
        <w:jc w:val="both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Material de Consumo</w:t>
      </w:r>
      <w:r>
        <w:rPr>
          <w:rFonts w:eastAsia="Arial Unicode MS" w:cs="Calibri"/>
          <w:sz w:val="24"/>
          <w:szCs w:val="24"/>
        </w:rPr>
        <w:t xml:space="preserve"> – compreende material de expediente; informática; e outros materiais de consumo que não sejam classificados como material permanente. </w:t>
      </w:r>
    </w:p>
    <w:p>
      <w:pPr>
        <w:pStyle w:val="ListParagraph"/>
        <w:spacing w:lineRule="auto" w:line="360"/>
        <w:ind w:left="1571" w:hanging="0"/>
        <w:jc w:val="both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</w:r>
    </w:p>
    <w:p>
      <w:pPr>
        <w:pStyle w:val="ListParagraph"/>
        <w:numPr>
          <w:ilvl w:val="0"/>
          <w:numId w:val="22"/>
        </w:numPr>
        <w:spacing w:lineRule="auto" w:line="360"/>
        <w:jc w:val="both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 xml:space="preserve">Serviços de Terceiros </w:t>
      </w:r>
    </w:p>
    <w:p>
      <w:pPr>
        <w:pStyle w:val="ListParagraph"/>
        <w:numPr>
          <w:ilvl w:val="0"/>
          <w:numId w:val="23"/>
        </w:numPr>
        <w:spacing w:lineRule="auto" w:line="360"/>
        <w:ind w:left="0" w:firstLine="993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Diárias</w:t>
      </w:r>
      <w:r>
        <w:rPr>
          <w:rFonts w:eastAsia="Arial Unicode MS" w:cs="Calibri"/>
          <w:sz w:val="24"/>
          <w:szCs w:val="24"/>
        </w:rPr>
        <w:t xml:space="preserve"> – compreende diárias do presidente, de conselheiros e de convidados.</w:t>
      </w:r>
    </w:p>
    <w:p>
      <w:pPr>
        <w:pStyle w:val="ListParagraph"/>
        <w:numPr>
          <w:ilvl w:val="0"/>
          <w:numId w:val="23"/>
        </w:numPr>
        <w:spacing w:lineRule="auto" w:line="360"/>
        <w:ind w:left="0" w:firstLine="993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Passagens</w:t>
      </w:r>
      <w:r>
        <w:rPr>
          <w:rFonts w:eastAsia="Arial Unicode MS" w:cs="Calibri"/>
          <w:sz w:val="24"/>
          <w:szCs w:val="24"/>
        </w:rPr>
        <w:t xml:space="preserve"> – compreende passagens de funcionários, presidente, conselheiros e convidados.</w:t>
      </w:r>
    </w:p>
    <w:p>
      <w:pPr>
        <w:pStyle w:val="ListParagraph"/>
        <w:numPr>
          <w:ilvl w:val="0"/>
          <w:numId w:val="23"/>
        </w:numPr>
        <w:spacing w:lineRule="auto" w:line="360"/>
        <w:ind w:left="0" w:firstLine="993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Serviços Prestados (PF e PJ)</w:t>
      </w:r>
      <w:r>
        <w:rPr>
          <w:rFonts w:eastAsia="Arial Unicode MS" w:cs="Calibri"/>
          <w:sz w:val="24"/>
          <w:szCs w:val="24"/>
        </w:rPr>
        <w:t xml:space="preserve"> – compreende todo serviço prestado por pessoa jurídica como: consultorias; serviços de comunicação e divulgação; manutenção de sistemas informatizados; locação de bens móveis e imóveis, condomínios, reparos e conservação de bens móveis e imóveis; serviços de água e energia elétrica; correios; telecomunicações e outras despesas correntes não classificáveis nos itens anteriores e  remunerações de serviços prestados por pessoa física; remuneração de estagiários, e remuneração de menores aprendizes.</w:t>
      </w:r>
    </w:p>
    <w:p>
      <w:pPr>
        <w:pStyle w:val="ListParagraph"/>
        <w:spacing w:lineRule="auto" w:line="360"/>
        <w:ind w:left="993" w:hanging="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ListParagraph"/>
        <w:numPr>
          <w:ilvl w:val="0"/>
          <w:numId w:val="23"/>
        </w:numPr>
        <w:spacing w:lineRule="auto" w:line="360"/>
        <w:ind w:left="0" w:firstLine="993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 xml:space="preserve">Transferências Correntes: </w:t>
      </w:r>
      <w:r>
        <w:rPr>
          <w:rFonts w:eastAsia="Arial Unicode MS" w:cs="Calibri"/>
          <w:sz w:val="24"/>
          <w:szCs w:val="24"/>
        </w:rPr>
        <w:t>compreende os repasses ao Fundo de Apoio; os repasses ao Centro de Serviço Compartilhado- CSC; convênios, acordos, ajuda as entidades e patrocínios.</w:t>
      </w:r>
    </w:p>
    <w:p>
      <w:pPr>
        <w:pStyle w:val="ListParagrap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ListParagraph"/>
        <w:numPr>
          <w:ilvl w:val="0"/>
          <w:numId w:val="23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 xml:space="preserve">Reserva de Contingência: </w:t>
      </w:r>
      <w:r>
        <w:rPr>
          <w:rFonts w:eastAsia="Arial Unicode MS" w:cs="Calibri"/>
          <w:sz w:val="24"/>
          <w:szCs w:val="24"/>
        </w:rPr>
        <w:t>compreende as despesas não previstas no plano de ação.</w:t>
      </w:r>
    </w:p>
    <w:p>
      <w:pPr>
        <w:pStyle w:val="ListParagraph"/>
        <w:spacing w:lineRule="auto" w:line="360"/>
        <w:ind w:left="1211" w:hanging="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ListParagraph"/>
        <w:numPr>
          <w:ilvl w:val="0"/>
          <w:numId w:val="23"/>
        </w:numPr>
        <w:spacing w:lineRule="auto" w:line="360"/>
        <w:ind w:left="0" w:firstLine="993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 xml:space="preserve">Encargos Diversos – </w:t>
      </w:r>
      <w:r>
        <w:rPr>
          <w:rFonts w:eastAsia="Arial Unicode MS" w:cs="Calibri"/>
          <w:sz w:val="24"/>
          <w:szCs w:val="24"/>
        </w:rPr>
        <w:t>compreende as taxas bancárias; impostos e taxas diversas; despesas judiciais; e outros encargos.</w:t>
      </w:r>
    </w:p>
    <w:p>
      <w:pPr>
        <w:pStyle w:val="ListParagraph"/>
        <w:spacing w:lineRule="auto" w:line="360"/>
        <w:ind w:left="1571" w:hanging="578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</w:r>
    </w:p>
    <w:p>
      <w:pPr>
        <w:pStyle w:val="ListParagraph"/>
        <w:numPr>
          <w:ilvl w:val="0"/>
          <w:numId w:val="23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Imobilizado</w:t>
      </w:r>
      <w:r>
        <w:rPr>
          <w:rFonts w:eastAsia="Arial Unicode MS" w:cs="Calibri"/>
          <w:sz w:val="24"/>
          <w:szCs w:val="24"/>
        </w:rPr>
        <w:t xml:space="preserve"> – compreende os investimentos como: aquisição de equipamentos e materiais permanentes; aquisição de imóveis; e outros investimentos.</w:t>
      </w:r>
    </w:p>
    <w:p>
      <w:pPr>
        <w:pStyle w:val="Normal"/>
        <w:rPr>
          <w:rFonts w:eastAsia="Arial Unicode MS" w:cs="Calibri"/>
          <w:sz w:val="24"/>
          <w:szCs w:val="24"/>
        </w:rPr>
      </w:pPr>
      <w:r>
        <w:rPr/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b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VIII. – Quadro Descritivo de Ações e Metas.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Metas Físicas</w:t>
      </w:r>
      <w:r>
        <w:rPr>
          <w:rFonts w:eastAsia="Arial Unicode MS" w:cs="Calibri"/>
          <w:sz w:val="24"/>
          <w:szCs w:val="24"/>
        </w:rPr>
        <w:t>: bem ou serviço qualificado e quantificado resultante da execução da ação. Para efeito de padronização, as metas são organizadas em dois conjuntos</w:t>
      </w:r>
    </w:p>
    <w:p>
      <w:pPr>
        <w:pStyle w:val="ListParagraph"/>
        <w:numPr>
          <w:ilvl w:val="0"/>
          <w:numId w:val="19"/>
        </w:numPr>
        <w:spacing w:lineRule="auto" w:line="360"/>
        <w:ind w:left="720" w:firstLine="139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Meta da Ação (Quant.):</w:t>
      </w:r>
      <w:r>
        <w:rPr>
          <w:rFonts w:eastAsia="Arial Unicode MS" w:cs="Calibri"/>
          <w:sz w:val="24"/>
          <w:szCs w:val="24"/>
        </w:rPr>
        <w:t xml:space="preserve"> consiste no quantitativo da ação. </w:t>
      </w:r>
    </w:p>
    <w:p>
      <w:pPr>
        <w:pStyle w:val="ListParagraph"/>
        <w:numPr>
          <w:ilvl w:val="0"/>
          <w:numId w:val="19"/>
        </w:numPr>
        <w:spacing w:lineRule="auto" w:line="360"/>
        <w:ind w:left="720" w:firstLine="139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 xml:space="preserve">Descrição das ações: </w:t>
      </w:r>
      <w:r>
        <w:rPr>
          <w:rFonts w:eastAsia="Arial Unicode MS" w:cs="Calibri"/>
          <w:sz w:val="24"/>
          <w:szCs w:val="24"/>
        </w:rPr>
        <w:t xml:space="preserve">ações são iniciativas especificas que devem ser executadas dentro de um projeto ou de uma atividade para produzir os resultados estabelecidos. 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A ação deve transmitir com clareza a sua finalidade, conteúdo e forma de implementação (</w:t>
      </w:r>
      <w:r>
        <w:rPr>
          <w:rFonts w:eastAsia="Arial Unicode MS" w:cs="Calibri"/>
          <w:b/>
          <w:sz w:val="24"/>
          <w:szCs w:val="24"/>
        </w:rPr>
        <w:t>o que vai ser feito, por que será feito, onde será feito, quando será feito, como vai ser feito e com que finalidade, por quem será feito e quanto vai custar</w:t>
      </w:r>
      <w:r>
        <w:rPr>
          <w:rFonts w:eastAsia="Arial Unicode MS" w:cs="Calibri"/>
          <w:sz w:val="24"/>
          <w:szCs w:val="24"/>
        </w:rPr>
        <w:t xml:space="preserve">). Exemplo: Realização de cursos de capacitação no SICCAU. </w:t>
      </w:r>
    </w:p>
    <w:p>
      <w:pPr>
        <w:pStyle w:val="ListParagraph"/>
        <w:numPr>
          <w:ilvl w:val="0"/>
          <w:numId w:val="25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 xml:space="preserve">Ações Estratégicas Prioritárias: </w:t>
      </w:r>
      <w:r>
        <w:rPr>
          <w:rFonts w:eastAsia="Arial Unicode MS" w:cs="Calibri"/>
          <w:sz w:val="24"/>
          <w:szCs w:val="24"/>
        </w:rPr>
        <w:t>selecionar as ações que melhor se enquadram com o objetivo geral.  A opção "Não se aplica" deve ser utilizada quando a ação descrita não faz parte do rol das "Ações Estratégicas Prioritárias".</w:t>
      </w:r>
    </w:p>
    <w:p>
      <w:pPr>
        <w:pStyle w:val="ListParagraph"/>
        <w:numPr>
          <w:ilvl w:val="0"/>
          <w:numId w:val="21"/>
        </w:numPr>
        <w:spacing w:lineRule="auto" w:line="360"/>
        <w:ind w:left="1211" w:hanging="502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Custo da ação:</w:t>
      </w:r>
      <w:r>
        <w:rPr>
          <w:rFonts w:eastAsia="Arial Unicode MS" w:cs="Calibri"/>
          <w:sz w:val="24"/>
          <w:szCs w:val="24"/>
        </w:rPr>
        <w:t xml:space="preserve"> valor detalhado dos recursos necessários para a realização da ação:</w:t>
      </w:r>
    </w:p>
    <w:p>
      <w:pPr>
        <w:pStyle w:val="ListParagraph"/>
        <w:numPr>
          <w:ilvl w:val="2"/>
          <w:numId w:val="20"/>
        </w:numPr>
        <w:spacing w:lineRule="auto" w:line="360"/>
        <w:ind w:left="1985" w:hanging="142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Programação 2021</w:t>
      </w:r>
      <w:r>
        <w:rPr>
          <w:rFonts w:eastAsia="Arial Unicode MS" w:cs="Calibri"/>
          <w:sz w:val="24"/>
          <w:szCs w:val="24"/>
        </w:rPr>
        <w:t>: indicar o custo total da ação aprovado na última programação orçamentária aprovada;</w:t>
      </w:r>
    </w:p>
    <w:p>
      <w:pPr>
        <w:pStyle w:val="ListParagraph"/>
        <w:numPr>
          <w:ilvl w:val="2"/>
          <w:numId w:val="20"/>
        </w:numPr>
        <w:spacing w:lineRule="auto" w:line="360"/>
        <w:ind w:left="1985" w:hanging="142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Reprogramação ordinária 2021:</w:t>
      </w:r>
    </w:p>
    <w:p>
      <w:pPr>
        <w:pStyle w:val="ListParagraph"/>
        <w:spacing w:lineRule="auto" w:line="360"/>
        <w:ind w:left="1985" w:hanging="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bCs/>
          <w:sz w:val="24"/>
          <w:szCs w:val="24"/>
        </w:rPr>
        <w:t xml:space="preserve">b.1) Execução 01 jan a 31 maio: </w:t>
      </w:r>
      <w:r>
        <w:rPr>
          <w:rFonts w:eastAsia="Arial Unicode MS" w:cs="Calibri"/>
          <w:sz w:val="24"/>
          <w:szCs w:val="24"/>
        </w:rPr>
        <w:t>indicar o custo executado da ação de acordo com o SISCONT no período de 01 de janeiro a 31 de maio de 2021;</w:t>
      </w:r>
    </w:p>
    <w:p>
      <w:pPr>
        <w:pStyle w:val="ListParagraph"/>
        <w:spacing w:lineRule="auto" w:line="360"/>
        <w:ind w:left="1985" w:hanging="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bCs/>
          <w:sz w:val="24"/>
          <w:szCs w:val="24"/>
        </w:rPr>
        <w:t>b.2) Projetado 01 jun a 31 dez:</w:t>
      </w:r>
      <w:r>
        <w:rPr>
          <w:rFonts w:eastAsia="Arial Unicode MS" w:cs="Calibri"/>
          <w:sz w:val="24"/>
          <w:szCs w:val="24"/>
        </w:rPr>
        <w:t xml:space="preserve"> indicar o custo projetado da ação no período de 01 de junho a 31 de dezembro de 2021;</w:t>
      </w:r>
    </w:p>
    <w:p>
      <w:pPr>
        <w:pStyle w:val="ListParagraph"/>
        <w:spacing w:lineRule="auto" w:line="360"/>
        <w:ind w:left="1985" w:hanging="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bCs/>
          <w:sz w:val="24"/>
          <w:szCs w:val="24"/>
        </w:rPr>
        <w:t>b.3) Proposta de Reprogramação:</w:t>
      </w:r>
      <w:r>
        <w:rPr>
          <w:rFonts w:eastAsia="Arial Unicode MS" w:cs="Calibri"/>
          <w:sz w:val="24"/>
          <w:szCs w:val="24"/>
        </w:rPr>
        <w:t xml:space="preserve"> somatório dos itens b.1 e b.2.</w:t>
      </w:r>
    </w:p>
    <w:p>
      <w:pPr>
        <w:pStyle w:val="ListParagraph"/>
        <w:numPr>
          <w:ilvl w:val="0"/>
          <w:numId w:val="20"/>
        </w:numPr>
        <w:spacing w:lineRule="auto" w:line="360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 xml:space="preserve">Variação %: </w:t>
      </w:r>
      <w:r>
        <w:rPr>
          <w:rFonts w:eastAsia="Arial Unicode MS" w:cs="Calibri"/>
          <w:sz w:val="24"/>
          <w:szCs w:val="24"/>
        </w:rPr>
        <w:t>percentual de variação entre os valores aprovados e os valores previstos.</w:t>
      </w:r>
    </w:p>
    <w:p>
      <w:pPr>
        <w:pStyle w:val="Normal"/>
        <w:spacing w:lineRule="auto" w:line="3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•</w:t>
      </w:r>
      <w:r>
        <w:rPr>
          <w:rFonts w:eastAsia="Arial Unicode MS" w:cs="Calibri"/>
          <w:sz w:val="24"/>
          <w:szCs w:val="24"/>
        </w:rPr>
        <w:tab/>
      </w:r>
      <w:r>
        <w:rPr>
          <w:rFonts w:eastAsia="Arial Unicode MS" w:cs="Calibri"/>
          <w:b/>
          <w:sz w:val="24"/>
          <w:szCs w:val="24"/>
        </w:rPr>
        <w:t>A custear com Recursos do Fundo de Apoio</w:t>
      </w:r>
      <w:r>
        <w:rPr>
          <w:rFonts w:eastAsia="Arial Unicode MS" w:cs="Calibri"/>
          <w:sz w:val="24"/>
          <w:szCs w:val="24"/>
        </w:rPr>
        <w:t>: compreende o valor que será custeado com recursos do Fundo de Apoio em cada elemento de despesas.</w:t>
      </w:r>
    </w:p>
    <w:p>
      <w:pPr>
        <w:pStyle w:val="Normal"/>
        <w:spacing w:lineRule="auto" w:line="360" w:before="0" w:after="160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•</w:t>
      </w:r>
      <w:r>
        <w:rPr>
          <w:rFonts w:eastAsia="Arial Unicode MS" w:cs="Calibri"/>
          <w:sz w:val="24"/>
          <w:szCs w:val="24"/>
        </w:rPr>
        <w:tab/>
      </w:r>
      <w:r>
        <w:rPr>
          <w:rFonts w:eastAsia="Arial Unicode MS" w:cs="Calibri"/>
          <w:b/>
          <w:sz w:val="24"/>
          <w:szCs w:val="24"/>
        </w:rPr>
        <w:t>% Utilização do Fundo de Apoio</w:t>
      </w:r>
      <w:r>
        <w:rPr>
          <w:rFonts w:eastAsia="Arial Unicode MS" w:cs="Calibri"/>
          <w:sz w:val="24"/>
          <w:szCs w:val="24"/>
        </w:rPr>
        <w:t>: percentual de utilização de recursos oriundos do Fundo de Apoio para custear a ação.</w:t>
      </w:r>
    </w:p>
    <w:sectPr>
      <w:headerReference w:type="default" r:id="rId106"/>
      <w:footerReference w:type="default" r:id="rId107"/>
      <w:footnotePr>
        <w:numFmt w:val="decimal"/>
      </w:footnotePr>
      <w:type w:val="nextPage"/>
      <w:pgSz w:w="11906" w:h="16838"/>
      <w:pgMar w:left="1134" w:right="1134" w:header="709" w:top="1134" w:footer="153" w:bottom="170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 Light">
    <w:charset w:val="00"/>
    <w:family w:val="swiss"/>
    <w:pitch w:val="variable"/>
  </w:font>
  <w:font w:name="Bookman Old Style">
    <w:charset w:val="00"/>
    <w:family w:val="roman"/>
    <w:pitch w:val="variable"/>
  </w:font>
  <w:font w:name="Arial"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  <w:font w:name="Calibri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34</w:t>
    </w:r>
    <w:r>
      <w:rPr>
        <w:bCs/>
      </w:rPr>
      <w:fldChar w:fldCharType="end"/>
    </w:r>
    <w:r>
      <w:rPr>
        <w:bCs/>
      </w:rPr>
      <w:t>/89</w:t>
    </w:r>
  </w:p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46</w:t>
    </w:r>
    <w:r>
      <w:rPr>
        <w:bCs/>
      </w:rPr>
      <w:fldChar w:fldCharType="end"/>
    </w:r>
    <w:r>
      <w:rPr>
        <w:bCs/>
      </w:rPr>
      <w:t>/89</w:t>
    </w:r>
  </w:p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47</w:t>
    </w:r>
    <w:r>
      <w:rPr>
        <w:bCs/>
      </w:rPr>
      <w:fldChar w:fldCharType="end"/>
    </w:r>
    <w:r>
      <w:rPr>
        <w:bCs/>
      </w:rPr>
      <w:t>/89</w:t>
    </w:r>
  </w:p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49</w:t>
    </w:r>
    <w:r>
      <w:rPr>
        <w:bCs/>
      </w:rPr>
      <w:fldChar w:fldCharType="end"/>
    </w:r>
    <w:r>
      <w:rPr>
        <w:bCs/>
      </w:rPr>
      <w:t>/89</w:t>
    </w:r>
  </w:p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50</w:t>
    </w:r>
    <w:r>
      <w:rPr>
        <w:bCs/>
      </w:rPr>
      <w:fldChar w:fldCharType="end"/>
    </w:r>
    <w:r>
      <w:rPr>
        <w:bCs/>
      </w:rPr>
      <w:t>/89</w:t>
    </w:r>
  </w:p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51</w:t>
    </w:r>
    <w:r>
      <w:rPr>
        <w:bCs/>
      </w:rPr>
      <w:fldChar w:fldCharType="end"/>
    </w:r>
    <w:r>
      <w:rPr>
        <w:bCs/>
      </w:rPr>
      <w:t>/89</w:t>
    </w:r>
  </w:p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54</w:t>
    </w:r>
    <w:r>
      <w:rPr>
        <w:bCs/>
      </w:rPr>
      <w:fldChar w:fldCharType="end"/>
    </w:r>
    <w:r>
      <w:rPr>
        <w:bCs/>
      </w:rPr>
      <w:t>/89</w:t>
    </w:r>
  </w:p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56</w:t>
    </w:r>
    <w:r>
      <w:rPr>
        <w:bCs/>
      </w:rPr>
      <w:fldChar w:fldCharType="end"/>
    </w:r>
    <w:r>
      <w:rPr>
        <w:bCs/>
      </w:rPr>
      <w:t>/89</w:t>
    </w:r>
  </w:p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58</w:t>
    </w:r>
    <w:r>
      <w:rPr>
        <w:bCs/>
      </w:rPr>
      <w:fldChar w:fldCharType="end"/>
    </w:r>
    <w:r>
      <w:rPr>
        <w:bCs/>
      </w:rPr>
      <w:t>/89</w:t>
    </w:r>
  </w:p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727659037"/>
    </w:sdtPr>
    <w:sdtContent>
      <w:p>
        <w:pPr>
          <w:pStyle w:val="Rodap"/>
          <w:pBdr>
            <w:bottom w:val="single" w:sz="4" w:space="1" w:color="000000"/>
          </w:pBdr>
          <w:jc w:val="center"/>
          <w:rPr/>
        </w:pPr>
        <w:r>
          <w:rPr/>
        </w:r>
      </w:p>
      <w:p>
        <w:pPr>
          <w:pStyle w:val="Rodap"/>
          <w:jc w:val="center"/>
          <w:rPr/>
        </w:pPr>
        <w:r>
          <w:rPr>
            <w:bCs/>
          </w:rPr>
          <w:fldChar w:fldCharType="begin"/>
        </w:r>
        <w:r>
          <w:rPr>
            <w:bCs/>
          </w:rPr>
          <w:instrText> PAGE \* ARABIC </w:instrText>
        </w:r>
        <w:r>
          <w:rPr>
            <w:bCs/>
          </w:rPr>
          <w:fldChar w:fldCharType="separate"/>
        </w:r>
        <w:r>
          <w:rPr>
            <w:bCs/>
          </w:rPr>
          <w:t>59</w:t>
        </w:r>
        <w:r>
          <w:rPr>
            <w:bCs/>
          </w:rPr>
          <w:fldChar w:fldCharType="end"/>
        </w:r>
        <w:r>
          <w:rPr>
            <w:bCs/>
          </w:rPr>
          <w:t>/</w:t>
        </w:r>
        <w:r>
          <w:rPr>
            <w:bCs/>
          </w:rPr>
          <w:fldChar w:fldCharType="begin"/>
        </w:r>
        <w:r>
          <w:rPr>
            <w:bCs/>
          </w:rPr>
          <w:instrText> NUMPAGES \* ARABIC </w:instrText>
        </w:r>
        <w:r>
          <w:rPr>
            <w:bCs/>
          </w:rPr>
          <w:fldChar w:fldCharType="separate"/>
        </w:r>
        <w:r>
          <w:rPr>
            <w:bCs/>
          </w:rPr>
          <w:t>90</w:t>
        </w:r>
        <w:r>
          <w:rPr>
            <w:bCs/>
          </w:rPr>
          <w:fldChar w:fldCharType="end"/>
        </w:r>
      </w:p>
      <w:p>
        <w:pPr>
          <w:pStyle w:val="Normal"/>
          <w:rPr/>
        </w:pPr>
        <w:r>
          <w:rPr/>
        </w:r>
      </w:p>
      <w:p>
        <w:pPr>
          <w:pStyle w:val="Normal"/>
          <w:spacing w:lineRule="auto" w:line="360"/>
          <w:jc w:val="center"/>
          <w:rPr>
            <w:color w:val="808080" w:themeColor="background1" w:themeShade="80"/>
          </w:rPr>
        </w:pPr>
        <w:r>
          <w:rPr>
            <w:color w:val="808080" w:themeColor="background1" w:themeShade="80"/>
          </w:rPr>
        </w:r>
      </w:p>
      <w:p>
        <w:pPr>
          <w:pStyle w:val="Normal"/>
          <w:widowControl/>
          <w:bidi w:val="0"/>
          <w:spacing w:lineRule="auto" w:line="259" w:before="0" w:after="160"/>
          <w:jc w:val="left"/>
          <w:rPr/>
        </w:pPr>
        <w:r>
          <w:rPr/>
        </w:r>
      </w:p>
    </w:sdtContent>
  </w:sdt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807562805"/>
    </w:sdtPr>
    <w:sdtContent>
      <w:p>
        <w:pPr>
          <w:pStyle w:val="Rodap"/>
          <w:pBdr>
            <w:bottom w:val="single" w:sz="4" w:space="1" w:color="000000"/>
          </w:pBdr>
          <w:jc w:val="center"/>
          <w:rPr/>
        </w:pPr>
        <w:r>
          <w:rPr/>
        </w:r>
      </w:p>
      <w:p>
        <w:pPr>
          <w:pStyle w:val="Rodap"/>
          <w:jc w:val="center"/>
          <w:rPr/>
        </w:pPr>
        <w:r>
          <w:rPr>
            <w:bCs/>
          </w:rPr>
          <w:fldChar w:fldCharType="begin"/>
        </w:r>
        <w:r>
          <w:rPr>
            <w:bCs/>
          </w:rPr>
          <w:instrText> PAGE \* ARABIC </w:instrText>
        </w:r>
        <w:r>
          <w:rPr>
            <w:bCs/>
          </w:rPr>
          <w:fldChar w:fldCharType="separate"/>
        </w:r>
        <w:r>
          <w:rPr>
            <w:bCs/>
          </w:rPr>
          <w:t>61</w:t>
        </w:r>
        <w:r>
          <w:rPr>
            <w:bCs/>
          </w:rPr>
          <w:fldChar w:fldCharType="end"/>
        </w:r>
        <w:r>
          <w:rPr>
            <w:bCs/>
          </w:rPr>
          <w:t>/</w:t>
        </w:r>
        <w:r>
          <w:rPr>
            <w:bCs/>
          </w:rPr>
          <w:fldChar w:fldCharType="begin"/>
        </w:r>
        <w:r>
          <w:rPr>
            <w:bCs/>
          </w:rPr>
          <w:instrText> NUMPAGES \* ARABIC </w:instrText>
        </w:r>
        <w:r>
          <w:rPr>
            <w:bCs/>
          </w:rPr>
          <w:fldChar w:fldCharType="separate"/>
        </w:r>
        <w:r>
          <w:rPr>
            <w:bCs/>
          </w:rPr>
          <w:t>90</w:t>
        </w:r>
        <w:r>
          <w:rPr>
            <w:bCs/>
          </w:rPr>
          <w:fldChar w:fldCharType="end"/>
        </w:r>
      </w:p>
      <w:p>
        <w:pPr>
          <w:pStyle w:val="Normal"/>
          <w:rPr/>
        </w:pPr>
        <w:r>
          <w:rPr/>
        </w:r>
      </w:p>
      <w:p>
        <w:pPr>
          <w:pStyle w:val="Normal"/>
          <w:spacing w:lineRule="auto" w:line="360"/>
          <w:jc w:val="center"/>
          <w:rPr>
            <w:color w:val="808080" w:themeColor="background1" w:themeShade="80"/>
          </w:rPr>
        </w:pPr>
        <w:r>
          <w:rPr>
            <w:color w:val="808080" w:themeColor="background1" w:themeShade="80"/>
          </w:rPr>
        </w:r>
      </w:p>
      <w:p>
        <w:pPr>
          <w:pStyle w:val="Normal"/>
          <w:widowControl/>
          <w:bidi w:val="0"/>
          <w:spacing w:lineRule="auto" w:line="259" w:before="0" w:after="160"/>
          <w:jc w:val="left"/>
          <w:rPr/>
        </w:pPr>
        <w:r>
          <w:rPr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0</w:t>
    </w:r>
    <w:r>
      <w:rPr>
        <w:bCs/>
      </w:rPr>
      <w:fldChar w:fldCharType="end"/>
    </w:r>
    <w:r>
      <w:rPr>
        <w:bCs/>
      </w:rPr>
      <w:t>/</w:t>
    </w:r>
    <w:r>
      <w:rPr>
        <w:bCs/>
      </w:rPr>
      <w:fldChar w:fldCharType="begin"/>
    </w:r>
    <w:r>
      <w:rPr>
        <w:bCs/>
      </w:rPr>
      <w:instrText> NUMPAGES \* ARABIC </w:instrText>
    </w:r>
    <w:r>
      <w:rPr>
        <w:bCs/>
      </w:rPr>
      <w:fldChar w:fldCharType="separate"/>
    </w:r>
    <w:r>
      <w:rPr>
        <w:bCs/>
      </w:rPr>
      <w:t>90</w:t>
    </w:r>
    <w:r>
      <w:rPr>
        <w:bCs/>
      </w:rPr>
      <w:fldChar w:fldCharType="end"/>
    </w:r>
  </w:p>
  <w:p>
    <w:pPr>
      <w:pStyle w:val="Rodap"/>
      <w:rPr/>
    </w:pPr>
    <w:r>
      <w:rPr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291591565"/>
    </w:sdtPr>
    <w:sdtContent>
      <w:p>
        <w:pPr>
          <w:pStyle w:val="Rodap"/>
          <w:pBdr>
            <w:bottom w:val="single" w:sz="4" w:space="1" w:color="000000"/>
          </w:pBdr>
          <w:jc w:val="center"/>
          <w:rPr/>
        </w:pPr>
        <w:r>
          <w:rPr/>
        </w:r>
      </w:p>
      <w:p>
        <w:pPr>
          <w:pStyle w:val="Rodap"/>
          <w:jc w:val="center"/>
          <w:rPr/>
        </w:pPr>
        <w:r>
          <w:rPr>
            <w:bCs/>
          </w:rPr>
          <w:fldChar w:fldCharType="begin"/>
        </w:r>
        <w:r>
          <w:rPr>
            <w:bCs/>
          </w:rPr>
          <w:instrText> PAGE \* ARABIC </w:instrText>
        </w:r>
        <w:r>
          <w:rPr>
            <w:bCs/>
          </w:rPr>
          <w:fldChar w:fldCharType="separate"/>
        </w:r>
        <w:r>
          <w:rPr>
            <w:bCs/>
          </w:rPr>
          <w:t>62</w:t>
        </w:r>
        <w:r>
          <w:rPr>
            <w:bCs/>
          </w:rPr>
          <w:fldChar w:fldCharType="end"/>
        </w:r>
        <w:r>
          <w:rPr>
            <w:bCs/>
          </w:rPr>
          <w:t>/</w:t>
        </w:r>
        <w:r>
          <w:rPr>
            <w:bCs/>
          </w:rPr>
          <w:fldChar w:fldCharType="begin"/>
        </w:r>
        <w:r>
          <w:rPr>
            <w:bCs/>
          </w:rPr>
          <w:instrText> NUMPAGES \* ARABIC </w:instrText>
        </w:r>
        <w:r>
          <w:rPr>
            <w:bCs/>
          </w:rPr>
          <w:fldChar w:fldCharType="separate"/>
        </w:r>
        <w:r>
          <w:rPr>
            <w:bCs/>
          </w:rPr>
          <w:t>90</w:t>
        </w:r>
        <w:r>
          <w:rPr>
            <w:bCs/>
          </w:rPr>
          <w:fldChar w:fldCharType="end"/>
        </w:r>
      </w:p>
      <w:p>
        <w:pPr>
          <w:pStyle w:val="Normal"/>
          <w:rPr/>
        </w:pPr>
        <w:r>
          <w:rPr/>
        </w:r>
      </w:p>
      <w:p>
        <w:pPr>
          <w:pStyle w:val="Normal"/>
          <w:spacing w:lineRule="auto" w:line="360"/>
          <w:jc w:val="center"/>
          <w:rPr>
            <w:color w:val="808080" w:themeColor="background1" w:themeShade="80"/>
          </w:rPr>
        </w:pPr>
        <w:r>
          <w:rPr>
            <w:color w:val="808080" w:themeColor="background1" w:themeShade="80"/>
          </w:rPr>
        </w:r>
      </w:p>
    </w:sdtContent>
  </w:sdt>
  <w:p>
    <w:pPr>
      <w:pStyle w:val="Normal"/>
      <w:spacing w:before="0" w:after="160"/>
      <w:rPr/>
    </w:pPr>
    <w:r>
      <w:rPr/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431563537"/>
    </w:sdtPr>
    <w:sdtContent>
      <w:p>
        <w:pPr>
          <w:pStyle w:val="Rodap"/>
          <w:pBdr>
            <w:bottom w:val="single" w:sz="4" w:space="1" w:color="000000"/>
          </w:pBdr>
          <w:jc w:val="center"/>
          <w:rPr/>
        </w:pPr>
        <w:r>
          <w:rPr/>
        </w:r>
      </w:p>
      <w:p>
        <w:pPr>
          <w:pStyle w:val="Rodap"/>
          <w:jc w:val="center"/>
          <w:rPr/>
        </w:pPr>
        <w:r>
          <w:rPr>
            <w:bCs/>
          </w:rPr>
          <w:fldChar w:fldCharType="begin"/>
        </w:r>
        <w:r>
          <w:rPr>
            <w:bCs/>
          </w:rPr>
          <w:instrText> PAGE \* ARABIC </w:instrText>
        </w:r>
        <w:r>
          <w:rPr>
            <w:bCs/>
          </w:rPr>
          <w:fldChar w:fldCharType="separate"/>
        </w:r>
        <w:r>
          <w:rPr>
            <w:bCs/>
          </w:rPr>
          <w:t>63</w:t>
        </w:r>
        <w:r>
          <w:rPr>
            <w:bCs/>
          </w:rPr>
          <w:fldChar w:fldCharType="end"/>
        </w:r>
        <w:r>
          <w:rPr>
            <w:bCs/>
          </w:rPr>
          <w:t>/</w:t>
        </w:r>
        <w:r>
          <w:rPr>
            <w:bCs/>
          </w:rPr>
          <w:fldChar w:fldCharType="begin"/>
        </w:r>
        <w:r>
          <w:rPr>
            <w:bCs/>
          </w:rPr>
          <w:instrText> NUMPAGES \* ARABIC </w:instrText>
        </w:r>
        <w:r>
          <w:rPr>
            <w:bCs/>
          </w:rPr>
          <w:fldChar w:fldCharType="separate"/>
        </w:r>
        <w:r>
          <w:rPr>
            <w:bCs/>
          </w:rPr>
          <w:t>90</w:t>
        </w:r>
        <w:r>
          <w:rPr>
            <w:bCs/>
          </w:rPr>
          <w:fldChar w:fldCharType="end"/>
        </w:r>
      </w:p>
      <w:p>
        <w:pPr>
          <w:pStyle w:val="Normal"/>
          <w:rPr/>
        </w:pPr>
        <w:r>
          <w:rPr/>
        </w:r>
      </w:p>
      <w:p>
        <w:pPr>
          <w:pStyle w:val="Normal"/>
          <w:spacing w:lineRule="auto" w:line="360"/>
          <w:jc w:val="center"/>
          <w:rPr>
            <w:color w:val="808080" w:themeColor="background1" w:themeShade="80"/>
          </w:rPr>
        </w:pPr>
        <w:r>
          <w:rPr>
            <w:color w:val="808080" w:themeColor="background1" w:themeShade="80"/>
          </w:rPr>
        </w:r>
      </w:p>
    </w:sdtContent>
  </w:sdt>
  <w:p>
    <w:pPr>
      <w:pStyle w:val="Normal"/>
      <w:spacing w:before="0" w:after="160"/>
      <w:rPr/>
    </w:pPr>
    <w:r>
      <w:rPr/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038879777"/>
    </w:sdtPr>
    <w:sdtContent>
      <w:p>
        <w:pPr>
          <w:pStyle w:val="Rodap"/>
          <w:pBdr>
            <w:bottom w:val="single" w:sz="4" w:space="1" w:color="000000"/>
          </w:pBdr>
          <w:jc w:val="center"/>
          <w:rPr/>
        </w:pPr>
        <w:r>
          <w:rPr/>
        </w:r>
      </w:p>
      <w:p>
        <w:pPr>
          <w:pStyle w:val="Rodap"/>
          <w:jc w:val="center"/>
          <w:rPr/>
        </w:pPr>
        <w:r>
          <w:rPr>
            <w:bCs/>
          </w:rPr>
          <w:fldChar w:fldCharType="begin"/>
        </w:r>
        <w:r>
          <w:rPr>
            <w:bCs/>
          </w:rPr>
          <w:instrText> PAGE \* ARABIC </w:instrText>
        </w:r>
        <w:r>
          <w:rPr>
            <w:bCs/>
          </w:rPr>
          <w:fldChar w:fldCharType="separate"/>
        </w:r>
        <w:r>
          <w:rPr>
            <w:bCs/>
          </w:rPr>
          <w:t>65</w:t>
        </w:r>
        <w:r>
          <w:rPr>
            <w:bCs/>
          </w:rPr>
          <w:fldChar w:fldCharType="end"/>
        </w:r>
        <w:r>
          <w:rPr>
            <w:bCs/>
          </w:rPr>
          <w:t>/</w:t>
        </w:r>
        <w:r>
          <w:rPr>
            <w:bCs/>
          </w:rPr>
          <w:fldChar w:fldCharType="begin"/>
        </w:r>
        <w:r>
          <w:rPr>
            <w:bCs/>
          </w:rPr>
          <w:instrText> NUMPAGES \* ARABIC </w:instrText>
        </w:r>
        <w:r>
          <w:rPr>
            <w:bCs/>
          </w:rPr>
          <w:fldChar w:fldCharType="separate"/>
        </w:r>
        <w:r>
          <w:rPr>
            <w:bCs/>
          </w:rPr>
          <w:t>90</w:t>
        </w:r>
        <w:r>
          <w:rPr>
            <w:bCs/>
          </w:rPr>
          <w:fldChar w:fldCharType="end"/>
        </w:r>
      </w:p>
      <w:p>
        <w:pPr>
          <w:pStyle w:val="Normal"/>
          <w:rPr/>
        </w:pPr>
        <w:r>
          <w:rPr/>
        </w:r>
      </w:p>
      <w:p>
        <w:pPr>
          <w:pStyle w:val="Normal"/>
          <w:spacing w:lineRule="auto" w:line="360"/>
          <w:jc w:val="center"/>
          <w:rPr>
            <w:color w:val="808080" w:themeColor="background1" w:themeShade="80"/>
          </w:rPr>
        </w:pPr>
        <w:r>
          <w:rPr>
            <w:color w:val="808080" w:themeColor="background1" w:themeShade="80"/>
          </w:rPr>
        </w:r>
      </w:p>
    </w:sdtContent>
  </w:sdt>
  <w:p>
    <w:pPr>
      <w:pStyle w:val="Normal"/>
      <w:spacing w:before="0" w:after="160"/>
      <w:rPr/>
    </w:pPr>
    <w:r>
      <w:rPr/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530826349"/>
    </w:sdtPr>
    <w:sdtContent>
      <w:p>
        <w:pPr>
          <w:pStyle w:val="Rodap"/>
          <w:pBdr>
            <w:bottom w:val="single" w:sz="4" w:space="1" w:color="000000"/>
          </w:pBdr>
          <w:jc w:val="center"/>
          <w:rPr/>
        </w:pPr>
        <w:r>
          <w:rPr/>
        </w:r>
      </w:p>
      <w:p>
        <w:pPr>
          <w:pStyle w:val="Rodap"/>
          <w:jc w:val="center"/>
          <w:rPr/>
        </w:pPr>
        <w:r>
          <w:rPr>
            <w:bCs/>
          </w:rPr>
          <w:fldChar w:fldCharType="begin"/>
        </w:r>
        <w:r>
          <w:rPr>
            <w:bCs/>
          </w:rPr>
          <w:instrText> PAGE \* ARABIC </w:instrText>
        </w:r>
        <w:r>
          <w:rPr>
            <w:bCs/>
          </w:rPr>
          <w:fldChar w:fldCharType="separate"/>
        </w:r>
        <w:r>
          <w:rPr>
            <w:bCs/>
          </w:rPr>
          <w:t>69</w:t>
        </w:r>
        <w:r>
          <w:rPr>
            <w:bCs/>
          </w:rPr>
          <w:fldChar w:fldCharType="end"/>
        </w:r>
        <w:r>
          <w:rPr>
            <w:bCs/>
          </w:rPr>
          <w:t>/92</w:t>
        </w:r>
      </w:p>
      <w:p>
        <w:pPr>
          <w:pStyle w:val="Normal"/>
          <w:spacing w:lineRule="auto" w:line="360" w:before="0" w:after="160"/>
          <w:jc w:val="center"/>
          <w:rPr>
            <w:color w:val="808080" w:themeColor="background1" w:themeShade="80"/>
          </w:rPr>
        </w:pPr>
        <w:r>
          <w:rPr>
            <w:color w:val="808080" w:themeColor="background1" w:themeShade="80"/>
          </w:rPr>
        </w:r>
      </w:p>
    </w:sdtContent>
  </w:sdt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742401154"/>
    </w:sdtPr>
    <w:sdtContent>
      <w:p>
        <w:pPr>
          <w:pStyle w:val="Rodap"/>
          <w:pBdr>
            <w:bottom w:val="single" w:sz="4" w:space="1" w:color="000000"/>
          </w:pBdr>
          <w:jc w:val="center"/>
          <w:rPr/>
        </w:pPr>
        <w:r>
          <w:rPr/>
        </w:r>
      </w:p>
      <w:p>
        <w:pPr>
          <w:pStyle w:val="Rodap"/>
          <w:jc w:val="center"/>
          <w:rPr/>
        </w:pPr>
        <w:r>
          <w:rPr>
            <w:bCs/>
          </w:rPr>
          <w:fldChar w:fldCharType="begin"/>
        </w:r>
        <w:r>
          <w:rPr>
            <w:bCs/>
          </w:rPr>
          <w:instrText> PAGE \* ARABIC </w:instrText>
        </w:r>
        <w:r>
          <w:rPr>
            <w:bCs/>
          </w:rPr>
          <w:fldChar w:fldCharType="separate"/>
        </w:r>
        <w:r>
          <w:rPr>
            <w:bCs/>
          </w:rPr>
          <w:t>70</w:t>
        </w:r>
        <w:r>
          <w:rPr>
            <w:bCs/>
          </w:rPr>
          <w:fldChar w:fldCharType="end"/>
        </w:r>
        <w:r>
          <w:rPr>
            <w:bCs/>
          </w:rPr>
          <w:t>/92</w:t>
        </w:r>
      </w:p>
      <w:p>
        <w:pPr>
          <w:pStyle w:val="Normal"/>
          <w:spacing w:lineRule="auto" w:line="360" w:before="0" w:after="160"/>
          <w:jc w:val="center"/>
          <w:rPr>
            <w:color w:val="808080" w:themeColor="background1" w:themeShade="80"/>
          </w:rPr>
        </w:pPr>
        <w:r>
          <w:rPr>
            <w:color w:val="808080" w:themeColor="background1" w:themeShade="80"/>
          </w:rPr>
        </w:r>
      </w:p>
    </w:sdtContent>
  </w:sdt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71</w:t>
    </w:r>
    <w:r>
      <w:rPr>
        <w:bCs/>
      </w:rPr>
      <w:fldChar w:fldCharType="end"/>
    </w:r>
    <w:r>
      <w:rPr>
        <w:bCs/>
      </w:rPr>
      <w:t>/</w:t>
    </w:r>
    <w:r>
      <w:rPr>
        <w:bCs/>
      </w:rPr>
      <w:fldChar w:fldCharType="begin"/>
    </w:r>
    <w:r>
      <w:rPr>
        <w:bCs/>
      </w:rPr>
      <w:instrText> NUMPAGES \* ARABIC </w:instrText>
    </w:r>
    <w:r>
      <w:rPr>
        <w:bCs/>
      </w:rPr>
      <w:fldChar w:fldCharType="separate"/>
    </w:r>
    <w:r>
      <w:rPr>
        <w:bCs/>
      </w:rPr>
      <w:t>90</w:t>
    </w:r>
    <w:r>
      <w:rPr>
        <w:bCs/>
      </w:rPr>
      <w:fldChar w:fldCharType="end"/>
    </w:r>
  </w:p>
  <w:p>
    <w:pPr>
      <w:pStyle w:val="Rodap"/>
      <w:rPr/>
    </w:pPr>
    <w:r>
      <w:rPr/>
      <w:drawing>
        <wp:anchor behindDoc="1" distT="0" distB="0" distL="0" distR="0" simplePos="0" locked="0" layoutInCell="0" allowOverlap="1" relativeHeight="79">
          <wp:simplePos x="0" y="0"/>
          <wp:positionH relativeFrom="column">
            <wp:posOffset>-2453005</wp:posOffset>
          </wp:positionH>
          <wp:positionV relativeFrom="paragraph">
            <wp:posOffset>350520</wp:posOffset>
          </wp:positionV>
          <wp:extent cx="7562215" cy="956945"/>
          <wp:effectExtent l="0" t="0" r="0" b="0"/>
          <wp:wrapNone/>
          <wp:docPr id="105" name="Imagem 104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agem 104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9106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74</w:t>
    </w:r>
    <w:r>
      <w:rPr>
        <w:bCs/>
      </w:rPr>
      <w:fldChar w:fldCharType="end"/>
    </w:r>
    <w:r>
      <w:rPr>
        <w:bCs/>
      </w:rPr>
      <w:t>/88</w:t>
    </w:r>
  </w:p>
  <w:p>
    <w:pPr>
      <w:pStyle w:val="Rodap"/>
      <w:rPr/>
    </w:pPr>
    <w:r>
      <w:rPr/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75</w:t>
    </w:r>
    <w:r>
      <w:rPr>
        <w:bCs/>
      </w:rPr>
      <w:fldChar w:fldCharType="end"/>
    </w:r>
    <w:r>
      <w:rPr>
        <w:bCs/>
      </w:rPr>
      <w:t>/88</w:t>
    </w:r>
  </w:p>
  <w:p>
    <w:pPr>
      <w:pStyle w:val="Rodap"/>
      <w:rPr/>
    </w:pPr>
    <w:r>
      <w:rPr/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77</w:t>
    </w:r>
    <w:r>
      <w:rPr>
        <w:bCs/>
      </w:rPr>
      <w:fldChar w:fldCharType="end"/>
    </w:r>
    <w:r>
      <w:rPr>
        <w:bCs/>
      </w:rPr>
      <w:t>/88</w:t>
    </w:r>
  </w:p>
  <w:p>
    <w:pPr>
      <w:pStyle w:val="Rodap"/>
      <w:rPr/>
    </w:pPr>
    <w:r>
      <w:rPr/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78</w:t>
    </w:r>
    <w:r>
      <w:rPr>
        <w:bCs/>
      </w:rPr>
      <w:fldChar w:fldCharType="end"/>
    </w:r>
    <w:r>
      <w:rPr>
        <w:bCs/>
      </w:rPr>
      <w:t>/88</w:t>
    </w:r>
  </w:p>
  <w:p>
    <w:pPr>
      <w:pStyle w:val="Rodap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35</w:t>
    </w:r>
    <w:r>
      <w:rPr>
        <w:bCs/>
      </w:rPr>
      <w:fldChar w:fldCharType="end"/>
    </w:r>
    <w:r>
      <w:rPr>
        <w:bCs/>
      </w:rPr>
      <w:t>/</w:t>
    </w:r>
    <w:r>
      <w:rPr>
        <w:bCs/>
      </w:rPr>
      <w:fldChar w:fldCharType="begin"/>
    </w:r>
    <w:r>
      <w:rPr>
        <w:bCs/>
      </w:rPr>
      <w:instrText> NUMPAGES \* ARABIC </w:instrText>
    </w:r>
    <w:r>
      <w:rPr>
        <w:bCs/>
      </w:rPr>
      <w:fldChar w:fldCharType="separate"/>
    </w:r>
    <w:r>
      <w:rPr>
        <w:bCs/>
      </w:rPr>
      <w:t>90</w:t>
    </w:r>
    <w:r>
      <w:rPr>
        <w:bCs/>
      </w:rPr>
      <w:fldChar w:fldCharType="end"/>
    </w:r>
  </w:p>
  <w:p>
    <w:pPr>
      <w:pStyle w:val="Rodap"/>
      <w:rPr/>
    </w:pPr>
    <w:r>
      <w:rPr/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79</w:t>
    </w:r>
    <w:r>
      <w:rPr>
        <w:bCs/>
      </w:rPr>
      <w:fldChar w:fldCharType="end"/>
    </w:r>
    <w:r>
      <w:rPr>
        <w:bCs/>
      </w:rPr>
      <w:t>/88</w:t>
    </w:r>
  </w:p>
  <w:p>
    <w:pPr>
      <w:pStyle w:val="Rodap"/>
      <w:rPr/>
    </w:pPr>
    <w:r>
      <w:rPr/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80</w:t>
    </w:r>
    <w:r>
      <w:rPr>
        <w:bCs/>
      </w:rPr>
      <w:fldChar w:fldCharType="end"/>
    </w:r>
    <w:r>
      <w:rPr>
        <w:bCs/>
      </w:rPr>
      <w:t>/88</w:t>
    </w:r>
  </w:p>
  <w:p>
    <w:pPr>
      <w:pStyle w:val="Rodap"/>
      <w:rPr/>
    </w:pPr>
    <w:r>
      <w:rPr/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82</w:t>
    </w:r>
    <w:r>
      <w:rPr>
        <w:bCs/>
      </w:rPr>
      <w:fldChar w:fldCharType="end"/>
    </w:r>
    <w:r>
      <w:rPr>
        <w:bCs/>
      </w:rPr>
      <w:t>/88</w:t>
    </w:r>
  </w:p>
  <w:p>
    <w:pPr>
      <w:pStyle w:val="Rodap"/>
      <w:rPr/>
    </w:pPr>
    <w:r>
      <w:rPr/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89</w:t>
    </w:r>
    <w:r>
      <w:rPr>
        <w:bCs/>
      </w:rPr>
      <w:fldChar w:fldCharType="end"/>
    </w:r>
    <w:r>
      <w:rPr>
        <w:bCs/>
      </w:rPr>
      <w:t>/88</w:t>
    </w:r>
  </w:p>
  <w:p>
    <w:pPr>
      <w:pStyle w:val="Rodap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36</w:t>
    </w:r>
    <w:r>
      <w:rPr>
        <w:bCs/>
      </w:rPr>
      <w:fldChar w:fldCharType="end"/>
    </w:r>
    <w:r>
      <w:rPr>
        <w:bCs/>
      </w:rPr>
      <w:t>/89</w:t>
    </w:r>
  </w:p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37</w:t>
    </w:r>
    <w:r>
      <w:rPr>
        <w:bCs/>
      </w:rPr>
      <w:fldChar w:fldCharType="end"/>
    </w:r>
    <w:r>
      <w:rPr>
        <w:bCs/>
      </w:rPr>
      <w:t>/89</w:t>
    </w:r>
  </w:p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38</w:t>
    </w:r>
    <w:r>
      <w:rPr>
        <w:bCs/>
      </w:rPr>
      <w:fldChar w:fldCharType="end"/>
    </w:r>
    <w:r>
      <w:rPr>
        <w:bCs/>
      </w:rPr>
      <w:t>/89</w:t>
    </w:r>
  </w:p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40</w:t>
    </w:r>
    <w:r>
      <w:rPr>
        <w:bCs/>
      </w:rPr>
      <w:fldChar w:fldCharType="end"/>
    </w:r>
    <w:r>
      <w:rPr>
        <w:bCs/>
      </w:rPr>
      <w:t>/89</w:t>
    </w:r>
  </w:p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43</w:t>
    </w:r>
    <w:r>
      <w:rPr>
        <w:bCs/>
      </w:rPr>
      <w:fldChar w:fldCharType="end"/>
    </w:r>
    <w:r>
      <w:rPr>
        <w:bCs/>
      </w:rPr>
      <w:t>/89</w:t>
    </w:r>
  </w:p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4" w:space="1" w:color="000000"/>
      </w:pBdr>
      <w:jc w:val="center"/>
      <w:rPr/>
    </w:pPr>
    <w:r>
      <w:rPr/>
    </w:r>
  </w:p>
  <w:p>
    <w:pPr>
      <w:pStyle w:val="Rodap"/>
      <w:jc w:val="center"/>
      <w:rPr/>
    </w:pPr>
    <w:r>
      <w:rPr>
        <w:bCs/>
      </w:rPr>
      <w:fldChar w:fldCharType="begin"/>
    </w:r>
    <w:r>
      <w:rPr>
        <w:bCs/>
      </w:rPr>
      <w:instrText> PAGE \* ARABIC </w:instrText>
    </w:r>
    <w:r>
      <w:rPr>
        <w:bCs/>
      </w:rPr>
      <w:fldChar w:fldCharType="separate"/>
    </w:r>
    <w:r>
      <w:rPr>
        <w:bCs/>
      </w:rPr>
      <w:t>45</w:t>
    </w:r>
    <w:r>
      <w:rPr>
        <w:bCs/>
      </w:rPr>
      <w:fldChar w:fldCharType="end"/>
    </w:r>
    <w:r>
      <w:rPr>
        <w:bCs/>
      </w:rPr>
      <w:t>/89</w:t>
    </w:r>
  </w:p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rmal"/>
        <w:spacing w:lineRule="auto" w:line="240" w:before="0" w:after="0"/>
        <w:jc w:val="both"/>
        <w:rPr>
          <w:rFonts w:cs="Calibri" w:cstheme="minorHAnsi"/>
          <w:color w:val="FF0000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cs="Calibri" w:cstheme="minorHAnsi"/>
          <w:color w:val="000000" w:themeColor="text1"/>
          <w:sz w:val="16"/>
          <w:szCs w:val="16"/>
        </w:rPr>
        <w:t xml:space="preserve"> </w:t>
      </w:r>
      <w:r>
        <w:rPr>
          <w:rFonts w:cs="Calibri" w:cstheme="minorHAnsi"/>
          <w:sz w:val="16"/>
          <w:szCs w:val="16"/>
        </w:rPr>
        <w:t xml:space="preserve">Arquitetos e Urbanistas ativos: </w:t>
      </w:r>
      <w:r>
        <w:rPr>
          <w:rFonts w:cs="Calibri" w:cstheme="minorHAnsi"/>
          <w:sz w:val="16"/>
          <w:szCs w:val="16"/>
          <w:lang w:eastAsia="pt-BR"/>
        </w:rPr>
        <w:t xml:space="preserve">entende-se como profissionais ativos os profissionais que </w:t>
      </w:r>
      <w:r>
        <w:rPr>
          <w:rFonts w:cs="Calibri" w:cstheme="minorHAnsi"/>
          <w:sz w:val="16"/>
          <w:szCs w:val="16"/>
        </w:rPr>
        <w:t>possuem a situação de registro ativo, que pagaram alguma anuidade ou emitiram RRT sem pagar a anuidade ou que fizeram apenas atualização cadastral.</w:t>
      </w:r>
      <w:r>
        <w:rPr>
          <w:rFonts w:cs="Calibri" w:cstheme="minorHAnsi"/>
          <w:b/>
          <w:bCs/>
          <w:sz w:val="16"/>
          <w:szCs w:val="16"/>
          <w:shd w:fill="F7F9FF" w:val="clear"/>
        </w:rPr>
        <w:t xml:space="preserve"> </w:t>
      </w:r>
      <w:r>
        <w:rPr>
          <w:rFonts w:cs="Calibri" w:cstheme="minorHAnsi"/>
          <w:sz w:val="16"/>
          <w:szCs w:val="16"/>
        </w:rPr>
        <w:t xml:space="preserve">Fonte: SICCAU em 19/05/2021. </w:t>
      </w:r>
    </w:p>
  </w:footnote>
  <w:footnote w:id="3">
    <w:p>
      <w:pPr>
        <w:pStyle w:val="Notaderodap"/>
        <w:jc w:val="both"/>
        <w:rPr>
          <w:rFonts w:cs="Calibri" w:cstheme="minorHAnsi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cs="Calibri" w:cstheme="minorHAnsi"/>
          <w:sz w:val="16"/>
          <w:szCs w:val="16"/>
        </w:rPr>
        <w:t xml:space="preserve"> </w:t>
      </w:r>
      <w:r>
        <w:rPr>
          <w:rFonts w:eastAsia="Calibri" w:cs="Calibri" w:cstheme="minorHAnsi" w:eastAsiaTheme="minorHAnsi"/>
          <w:sz w:val="16"/>
          <w:szCs w:val="16"/>
          <w:lang w:eastAsia="en-US"/>
        </w:rPr>
        <w:t xml:space="preserve">Potencial Pagantes: corresponde aos profissionais ativos menos </w:t>
      </w:r>
      <w:r>
        <w:rPr>
          <w:rFonts w:eastAsia="Calibri" w:cs="Calibri" w:cstheme="minorHAnsi" w:eastAsiaTheme="minorHAnsi"/>
          <w:color w:val="000000" w:themeColor="text1"/>
          <w:sz w:val="16"/>
          <w:szCs w:val="16"/>
          <w:lang w:eastAsia="en-US"/>
        </w:rPr>
        <w:t>a quantidade de arquitetos e urbanistas isentos de pagamento de anuidade.</w:t>
      </w:r>
    </w:p>
  </w:footnote>
  <w:footnote w:id="4">
    <w:p>
      <w:pPr>
        <w:pStyle w:val="Notaderodap"/>
        <w:rPr>
          <w:rFonts w:cs="Calibri" w:cstheme="minorHAnsi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cs="Calibri" w:cstheme="minorHAnsi"/>
          <w:sz w:val="16"/>
          <w:szCs w:val="16"/>
        </w:rPr>
        <w:t xml:space="preserve"> </w:t>
      </w:r>
      <w:r>
        <w:rPr>
          <w:rFonts w:cs="Calibri" w:cstheme="minorHAnsi"/>
          <w:sz w:val="16"/>
          <w:szCs w:val="16"/>
        </w:rPr>
        <w:t xml:space="preserve">Egressos: </w:t>
      </w:r>
      <w:r>
        <w:rPr>
          <w:rFonts w:cs="Calibri" w:cstheme="minorHAnsi"/>
          <w:color w:val="000000" w:themeColor="text1"/>
          <w:sz w:val="16"/>
          <w:szCs w:val="16"/>
        </w:rPr>
        <w:t xml:space="preserve">Arquitetos e Urbanistas ativos </w:t>
      </w:r>
      <w:r>
        <w:rPr>
          <w:rFonts w:cs="Calibri" w:cstheme="minorHAnsi"/>
          <w:sz w:val="16"/>
          <w:szCs w:val="16"/>
        </w:rPr>
        <w:t>com data de formação e registro em 2021, e que possuem situação de conceito ativo.</w:t>
      </w:r>
    </w:p>
  </w:footnote>
  <w:footnote w:id="5">
    <w:p>
      <w:pPr>
        <w:pStyle w:val="Notaderodap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sz w:val="16"/>
          <w:szCs w:val="16"/>
        </w:rPr>
        <w:t>Empresas de Arquitetura e Urbanismo ativas: corresponde às empresas que efetuaram qualquer tipo de movimentação no Siccau.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4778" w:leader="none"/>
      </w:tabs>
      <w:ind w:left="-993" w:hanging="0"/>
      <w:rPr/>
    </w:pPr>
    <w:r>
      <w:drawing>
        <wp:anchor behindDoc="1" distT="0" distB="0" distL="0" distR="0" simplePos="0" locked="0" layoutInCell="0" allowOverlap="1" relativeHeight="68">
          <wp:simplePos x="0" y="0"/>
          <wp:positionH relativeFrom="column">
            <wp:posOffset>-928370</wp:posOffset>
          </wp:positionH>
          <wp:positionV relativeFrom="paragraph">
            <wp:posOffset>-303530</wp:posOffset>
          </wp:positionV>
          <wp:extent cx="7578725" cy="1080770"/>
          <wp:effectExtent l="0" t="0" r="0" b="0"/>
          <wp:wrapNone/>
          <wp:docPr id="31" name="Imagem 86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m 86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4252"/>
        <w:tab w:val="clear" w:pos="8504"/>
        <w:tab w:val="left" w:pos="980" w:leader="none"/>
        <w:tab w:val="center" w:pos="4038" w:leader="none"/>
      </w:tabs>
      <w:ind w:left="-993" w:hanging="0"/>
      <w:rPr/>
    </w:pPr>
    <w:r>
      <w:rPr/>
      <w:tab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4778" w:leader="none"/>
      </w:tabs>
      <w:ind w:left="-993" w:hanging="0"/>
      <w:rPr/>
    </w:pPr>
    <w:r>
      <w:drawing>
        <wp:anchor behindDoc="1" distT="0" distB="0" distL="0" distR="0" simplePos="0" locked="0" layoutInCell="0" allowOverlap="1" relativeHeight="138">
          <wp:simplePos x="0" y="0"/>
          <wp:positionH relativeFrom="column">
            <wp:posOffset>-928370</wp:posOffset>
          </wp:positionH>
          <wp:positionV relativeFrom="paragraph">
            <wp:posOffset>-303530</wp:posOffset>
          </wp:positionV>
          <wp:extent cx="7578725" cy="1080770"/>
          <wp:effectExtent l="0" t="0" r="0" b="0"/>
          <wp:wrapNone/>
          <wp:docPr id="57" name="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4252"/>
        <w:tab w:val="clear" w:pos="8504"/>
        <w:tab w:val="left" w:pos="980" w:leader="none"/>
        <w:tab w:val="center" w:pos="4038" w:leader="none"/>
      </w:tabs>
      <w:ind w:left="-993" w:hanging="0"/>
      <w:rPr/>
    </w:pPr>
    <w:r>
      <w:rPr/>
      <w:tab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4778" w:leader="none"/>
      </w:tabs>
      <w:ind w:left="-993" w:hanging="0"/>
      <w:rPr/>
    </w:pPr>
    <w:r>
      <w:drawing>
        <wp:anchor behindDoc="1" distT="0" distB="0" distL="0" distR="0" simplePos="0" locked="0" layoutInCell="0" allowOverlap="1" relativeHeight="139">
          <wp:simplePos x="0" y="0"/>
          <wp:positionH relativeFrom="column">
            <wp:posOffset>-928370</wp:posOffset>
          </wp:positionH>
          <wp:positionV relativeFrom="paragraph">
            <wp:posOffset>-303530</wp:posOffset>
          </wp:positionV>
          <wp:extent cx="7578725" cy="1080770"/>
          <wp:effectExtent l="0" t="0" r="0" b="0"/>
          <wp:wrapNone/>
          <wp:docPr id="59" name="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4252"/>
        <w:tab w:val="clear" w:pos="8504"/>
        <w:tab w:val="left" w:pos="980" w:leader="none"/>
        <w:tab w:val="center" w:pos="4038" w:leader="none"/>
      </w:tabs>
      <w:ind w:left="-993" w:hanging="0"/>
      <w:rPr/>
    </w:pPr>
    <w:r>
      <w:rPr/>
      <w:tab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4778" w:leader="none"/>
      </w:tabs>
      <w:ind w:left="-993" w:hanging="0"/>
      <w:rPr/>
    </w:pPr>
    <w:r>
      <w:drawing>
        <wp:anchor behindDoc="1" distT="0" distB="0" distL="0" distR="0" simplePos="0" locked="0" layoutInCell="0" allowOverlap="1" relativeHeight="141">
          <wp:simplePos x="0" y="0"/>
          <wp:positionH relativeFrom="column">
            <wp:posOffset>-928370</wp:posOffset>
          </wp:positionH>
          <wp:positionV relativeFrom="paragraph">
            <wp:posOffset>-303530</wp:posOffset>
          </wp:positionV>
          <wp:extent cx="7578725" cy="1080770"/>
          <wp:effectExtent l="0" t="0" r="0" b="0"/>
          <wp:wrapNone/>
          <wp:docPr id="62" name="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4252"/>
        <w:tab w:val="clear" w:pos="8504"/>
        <w:tab w:val="left" w:pos="980" w:leader="none"/>
        <w:tab w:val="center" w:pos="4038" w:leader="none"/>
      </w:tabs>
      <w:ind w:left="-993" w:hanging="0"/>
      <w:rPr/>
    </w:pPr>
    <w:r>
      <w:rPr/>
      <w:tab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4778" w:leader="none"/>
      </w:tabs>
      <w:ind w:left="-993" w:hanging="0"/>
      <w:rPr/>
    </w:pPr>
    <w:r>
      <w:drawing>
        <wp:anchor behindDoc="1" distT="0" distB="0" distL="0" distR="0" simplePos="0" locked="0" layoutInCell="0" allowOverlap="1" relativeHeight="143">
          <wp:simplePos x="0" y="0"/>
          <wp:positionH relativeFrom="column">
            <wp:posOffset>-928370</wp:posOffset>
          </wp:positionH>
          <wp:positionV relativeFrom="paragraph">
            <wp:posOffset>-303530</wp:posOffset>
          </wp:positionV>
          <wp:extent cx="7578725" cy="1080770"/>
          <wp:effectExtent l="0" t="0" r="0" b="0"/>
          <wp:wrapNone/>
          <wp:docPr id="65" name="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4252"/>
        <w:tab w:val="clear" w:pos="8504"/>
        <w:tab w:val="left" w:pos="980" w:leader="none"/>
        <w:tab w:val="center" w:pos="4038" w:leader="none"/>
      </w:tabs>
      <w:ind w:left="-993" w:hanging="0"/>
      <w:rPr/>
    </w:pPr>
    <w:r>
      <w:rPr/>
      <w:tab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4778" w:leader="none"/>
      </w:tabs>
      <w:ind w:left="-993" w:hanging="0"/>
      <w:rPr/>
    </w:pPr>
    <w:r>
      <w:drawing>
        <wp:anchor behindDoc="1" distT="0" distB="0" distL="0" distR="0" simplePos="0" locked="0" layoutInCell="0" allowOverlap="1" relativeHeight="144">
          <wp:simplePos x="0" y="0"/>
          <wp:positionH relativeFrom="column">
            <wp:posOffset>-928370</wp:posOffset>
          </wp:positionH>
          <wp:positionV relativeFrom="paragraph">
            <wp:posOffset>-303530</wp:posOffset>
          </wp:positionV>
          <wp:extent cx="7578725" cy="1080770"/>
          <wp:effectExtent l="0" t="0" r="0" b="0"/>
          <wp:wrapNone/>
          <wp:docPr id="67" name="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4252"/>
        <w:tab w:val="clear" w:pos="8504"/>
        <w:tab w:val="left" w:pos="980" w:leader="none"/>
        <w:tab w:val="center" w:pos="4038" w:leader="none"/>
      </w:tabs>
      <w:ind w:left="-993" w:hanging="0"/>
      <w:rPr/>
    </w:pPr>
    <w:r>
      <w:rPr/>
      <w:tab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4778" w:leader="none"/>
      </w:tabs>
      <w:ind w:left="-993" w:hanging="0"/>
      <w:rPr/>
    </w:pPr>
    <w:r>
      <w:drawing>
        <wp:anchor behindDoc="1" distT="0" distB="0" distL="0" distR="0" simplePos="0" locked="0" layoutInCell="0" allowOverlap="1" relativeHeight="149">
          <wp:simplePos x="0" y="0"/>
          <wp:positionH relativeFrom="column">
            <wp:posOffset>-928370</wp:posOffset>
          </wp:positionH>
          <wp:positionV relativeFrom="paragraph">
            <wp:posOffset>-303530</wp:posOffset>
          </wp:positionV>
          <wp:extent cx="7578725" cy="1080770"/>
          <wp:effectExtent l="0" t="0" r="0" b="0"/>
          <wp:wrapNone/>
          <wp:docPr id="73" name="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4252"/>
        <w:tab w:val="clear" w:pos="8504"/>
        <w:tab w:val="left" w:pos="980" w:leader="none"/>
        <w:tab w:val="center" w:pos="4038" w:leader="none"/>
      </w:tabs>
      <w:ind w:left="-993" w:hanging="0"/>
      <w:rPr/>
    </w:pPr>
    <w:r>
      <w:rPr/>
      <w:tab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4778" w:leader="none"/>
      </w:tabs>
      <w:ind w:left="-993" w:hanging="0"/>
      <w:rPr/>
    </w:pPr>
    <w:r>
      <w:drawing>
        <wp:anchor behindDoc="1" distT="0" distB="0" distL="0" distR="0" simplePos="0" locked="0" layoutInCell="0" allowOverlap="1" relativeHeight="162">
          <wp:simplePos x="0" y="0"/>
          <wp:positionH relativeFrom="column">
            <wp:posOffset>-928370</wp:posOffset>
          </wp:positionH>
          <wp:positionV relativeFrom="paragraph">
            <wp:posOffset>-303530</wp:posOffset>
          </wp:positionV>
          <wp:extent cx="7578725" cy="1080770"/>
          <wp:effectExtent l="0" t="0" r="0" b="0"/>
          <wp:wrapNone/>
          <wp:docPr id="76" name="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4252"/>
        <w:tab w:val="clear" w:pos="8504"/>
        <w:tab w:val="left" w:pos="980" w:leader="none"/>
        <w:tab w:val="center" w:pos="4038" w:leader="none"/>
      </w:tabs>
      <w:ind w:left="-993" w:hanging="0"/>
      <w:rPr/>
    </w:pPr>
    <w:r>
      <w:rPr/>
      <w:tab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4778" w:leader="none"/>
      </w:tabs>
      <w:ind w:left="-993" w:hanging="0"/>
      <w:rPr/>
    </w:pPr>
    <w:r>
      <w:drawing>
        <wp:anchor behindDoc="1" distT="0" distB="0" distL="0" distR="0" simplePos="0" locked="0" layoutInCell="0" allowOverlap="1" relativeHeight="152">
          <wp:simplePos x="0" y="0"/>
          <wp:positionH relativeFrom="column">
            <wp:posOffset>-928370</wp:posOffset>
          </wp:positionH>
          <wp:positionV relativeFrom="paragraph">
            <wp:posOffset>-303530</wp:posOffset>
          </wp:positionV>
          <wp:extent cx="7578725" cy="1080770"/>
          <wp:effectExtent l="0" t="0" r="0" b="0"/>
          <wp:wrapNone/>
          <wp:docPr id="80" name="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4252"/>
        <w:tab w:val="clear" w:pos="8504"/>
        <w:tab w:val="left" w:pos="980" w:leader="none"/>
        <w:tab w:val="center" w:pos="4038" w:leader="none"/>
      </w:tabs>
      <w:ind w:left="-993" w:hanging="0"/>
      <w:rPr/>
    </w:pPr>
    <w:r>
      <w:rPr/>
      <w:tab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4778" w:leader="none"/>
      </w:tabs>
      <w:ind w:left="-993" w:hanging="0"/>
      <w:rPr/>
    </w:pPr>
    <w:r>
      <w:drawing>
        <wp:anchor behindDoc="1" distT="0" distB="0" distL="0" distR="0" simplePos="0" locked="0" layoutInCell="0" allowOverlap="1" relativeHeight="153">
          <wp:simplePos x="0" y="0"/>
          <wp:positionH relativeFrom="column">
            <wp:posOffset>-928370</wp:posOffset>
          </wp:positionH>
          <wp:positionV relativeFrom="paragraph">
            <wp:posOffset>-303530</wp:posOffset>
          </wp:positionV>
          <wp:extent cx="7578725" cy="1080770"/>
          <wp:effectExtent l="0" t="0" r="0" b="0"/>
          <wp:wrapNone/>
          <wp:docPr id="82" name="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4252"/>
        <w:tab w:val="clear" w:pos="8504"/>
        <w:tab w:val="left" w:pos="980" w:leader="none"/>
        <w:tab w:val="center" w:pos="4038" w:leader="none"/>
      </w:tabs>
      <w:ind w:left="-993" w:hanging="0"/>
      <w:rPr/>
    </w:pPr>
    <w:r>
      <w:rPr/>
      <w:tab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4778" w:leader="none"/>
      </w:tabs>
      <w:ind w:left="-993" w:hanging="0"/>
      <w:rPr/>
    </w:pPr>
    <w:r>
      <w:drawing>
        <wp:anchor behindDoc="1" distT="0" distB="0" distL="0" distR="0" simplePos="0" locked="0" layoutInCell="0" allowOverlap="1" relativeHeight="156">
          <wp:simplePos x="0" y="0"/>
          <wp:positionH relativeFrom="column">
            <wp:posOffset>-928370</wp:posOffset>
          </wp:positionH>
          <wp:positionV relativeFrom="paragraph">
            <wp:posOffset>-303530</wp:posOffset>
          </wp:positionV>
          <wp:extent cx="7578725" cy="1080770"/>
          <wp:effectExtent l="0" t="0" r="0" b="0"/>
          <wp:wrapNone/>
          <wp:docPr id="86" name="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4252"/>
        <w:tab w:val="clear" w:pos="8504"/>
        <w:tab w:val="left" w:pos="980" w:leader="none"/>
        <w:tab w:val="center" w:pos="4038" w:leader="none"/>
      </w:tabs>
      <w:ind w:left="-993" w:hanging="0"/>
      <w:rPr/>
    </w:pPr>
    <w:r>
      <w:rPr/>
      <w:tab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8">
          <wp:simplePos x="0" y="0"/>
          <wp:positionH relativeFrom="column">
            <wp:posOffset>-890270</wp:posOffset>
          </wp:positionH>
          <wp:positionV relativeFrom="paragraph">
            <wp:posOffset>-242570</wp:posOffset>
          </wp:positionV>
          <wp:extent cx="7578725" cy="1080770"/>
          <wp:effectExtent l="0" t="0" r="0" b="0"/>
          <wp:wrapNone/>
          <wp:docPr id="32" name="Imagem 87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m 87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jc w:val="right"/>
      <w:rPr/>
    </w:pPr>
    <w:r>
      <w:rPr/>
    </w:r>
  </w:p>
  <w:p>
    <w:pPr>
      <w:pStyle w:val="Cabealho"/>
      <w:tabs>
        <w:tab w:val="clear" w:pos="4252"/>
        <w:tab w:val="clear" w:pos="8504"/>
        <w:tab w:val="left" w:pos="3533" w:leader="none"/>
      </w:tabs>
      <w:rPr/>
    </w:pPr>
    <w:r>
      <w:rPr/>
      <w:tab/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74">
          <wp:simplePos x="0" y="0"/>
          <wp:positionH relativeFrom="column">
            <wp:posOffset>-1069975</wp:posOffset>
          </wp:positionH>
          <wp:positionV relativeFrom="paragraph">
            <wp:posOffset>-435610</wp:posOffset>
          </wp:positionV>
          <wp:extent cx="7562215" cy="956945"/>
          <wp:effectExtent l="0" t="0" r="0" b="0"/>
          <wp:wrapNone/>
          <wp:docPr id="88" name="Imagem 89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m 89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9106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Normal"/>
      <w:tabs>
        <w:tab w:val="clear" w:pos="708"/>
        <w:tab w:val="left" w:pos="8040" w:leader="none"/>
      </w:tabs>
      <w:spacing w:before="0" w:after="160"/>
      <w:rPr/>
    </w:pPr>
    <w:r>
      <w:rPr/>
      <w:tab/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157">
          <wp:simplePos x="0" y="0"/>
          <wp:positionH relativeFrom="column">
            <wp:posOffset>-1069975</wp:posOffset>
          </wp:positionH>
          <wp:positionV relativeFrom="paragraph">
            <wp:posOffset>-435610</wp:posOffset>
          </wp:positionV>
          <wp:extent cx="7562215" cy="956945"/>
          <wp:effectExtent l="0" t="0" r="0" b="0"/>
          <wp:wrapNone/>
          <wp:docPr id="90" name="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9106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Normal"/>
      <w:tabs>
        <w:tab w:val="clear" w:pos="708"/>
        <w:tab w:val="left" w:pos="8040" w:leader="none"/>
      </w:tabs>
      <w:spacing w:before="0" w:after="160"/>
      <w:rPr/>
    </w:pPr>
    <w:r>
      <w:rPr/>
      <w:tab/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159">
          <wp:simplePos x="0" y="0"/>
          <wp:positionH relativeFrom="column">
            <wp:posOffset>-1069975</wp:posOffset>
          </wp:positionH>
          <wp:positionV relativeFrom="paragraph">
            <wp:posOffset>-435610</wp:posOffset>
          </wp:positionV>
          <wp:extent cx="7562215" cy="956945"/>
          <wp:effectExtent l="0" t="0" r="0" b="0"/>
          <wp:wrapNone/>
          <wp:docPr id="94" name="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9106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Normal"/>
      <w:tabs>
        <w:tab w:val="clear" w:pos="708"/>
        <w:tab w:val="left" w:pos="8040" w:leader="none"/>
      </w:tabs>
      <w:spacing w:before="0" w:after="160"/>
      <w:rPr/>
    </w:pPr>
    <w:r>
      <w:rPr/>
      <w:tab/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-1069975</wp:posOffset>
          </wp:positionH>
          <wp:positionV relativeFrom="paragraph">
            <wp:posOffset>-435610</wp:posOffset>
          </wp:positionV>
          <wp:extent cx="7562215" cy="956945"/>
          <wp:effectExtent l="0" t="0" r="0" b="0"/>
          <wp:wrapNone/>
          <wp:docPr id="101" name="Imagem 100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Imagem 100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9106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Normal"/>
      <w:tabs>
        <w:tab w:val="clear" w:pos="708"/>
        <w:tab w:val="left" w:pos="8040" w:leader="none"/>
      </w:tabs>
      <w:spacing w:before="0" w:after="160"/>
      <w:rPr/>
    </w:pPr>
    <w:r>
      <w:rPr/>
      <w:tab/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163">
          <wp:simplePos x="0" y="0"/>
          <wp:positionH relativeFrom="column">
            <wp:posOffset>-1069975</wp:posOffset>
          </wp:positionH>
          <wp:positionV relativeFrom="paragraph">
            <wp:posOffset>-435610</wp:posOffset>
          </wp:positionV>
          <wp:extent cx="7562215" cy="956945"/>
          <wp:effectExtent l="0" t="0" r="0" b="0"/>
          <wp:wrapNone/>
          <wp:docPr id="103" name="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9106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Normal"/>
      <w:tabs>
        <w:tab w:val="clear" w:pos="708"/>
        <w:tab w:val="left" w:pos="8040" w:leader="none"/>
      </w:tabs>
      <w:spacing w:before="0" w:after="160"/>
      <w:rPr/>
    </w:pPr>
    <w:r>
      <w:rPr/>
      <w:tab/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165">
          <wp:simplePos x="0" y="0"/>
          <wp:positionH relativeFrom="column">
            <wp:posOffset>-1069975</wp:posOffset>
          </wp:positionH>
          <wp:positionV relativeFrom="paragraph">
            <wp:posOffset>-435610</wp:posOffset>
          </wp:positionV>
          <wp:extent cx="7562215" cy="956945"/>
          <wp:effectExtent l="0" t="0" r="0" b="0"/>
          <wp:wrapNone/>
          <wp:docPr id="104" name="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9106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Normal"/>
      <w:tabs>
        <w:tab w:val="clear" w:pos="708"/>
        <w:tab w:val="left" w:pos="8040" w:leader="none"/>
      </w:tabs>
      <w:spacing w:before="0" w:after="160"/>
      <w:rPr/>
    </w:pPr>
    <w:r>
      <w:rPr/>
      <w:tab/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78">
          <wp:simplePos x="0" y="0"/>
          <wp:positionH relativeFrom="column">
            <wp:posOffset>-862330</wp:posOffset>
          </wp:positionH>
          <wp:positionV relativeFrom="paragraph">
            <wp:posOffset>-437515</wp:posOffset>
          </wp:positionV>
          <wp:extent cx="7632700" cy="956945"/>
          <wp:effectExtent l="0" t="0" r="0" b="0"/>
          <wp:wrapNone/>
          <wp:docPr id="109" name="Imagem 105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Imagem 105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91061"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174">
          <wp:simplePos x="0" y="0"/>
          <wp:positionH relativeFrom="column">
            <wp:posOffset>-862330</wp:posOffset>
          </wp:positionH>
          <wp:positionV relativeFrom="paragraph">
            <wp:posOffset>-437515</wp:posOffset>
          </wp:positionV>
          <wp:extent cx="7632700" cy="956945"/>
          <wp:effectExtent l="0" t="0" r="0" b="0"/>
          <wp:wrapNone/>
          <wp:docPr id="112" name="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91061"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168">
          <wp:simplePos x="0" y="0"/>
          <wp:positionH relativeFrom="column">
            <wp:posOffset>-862330</wp:posOffset>
          </wp:positionH>
          <wp:positionV relativeFrom="paragraph">
            <wp:posOffset>-437515</wp:posOffset>
          </wp:positionV>
          <wp:extent cx="7632700" cy="956945"/>
          <wp:effectExtent l="0" t="0" r="0" b="0"/>
          <wp:wrapNone/>
          <wp:docPr id="115" name="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91061"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169">
          <wp:simplePos x="0" y="0"/>
          <wp:positionH relativeFrom="column">
            <wp:posOffset>-862330</wp:posOffset>
          </wp:positionH>
          <wp:positionV relativeFrom="paragraph">
            <wp:posOffset>-437515</wp:posOffset>
          </wp:positionV>
          <wp:extent cx="7632700" cy="956945"/>
          <wp:effectExtent l="0" t="0" r="0" b="0"/>
          <wp:wrapNone/>
          <wp:docPr id="117" name="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91061"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123">
          <wp:simplePos x="0" y="0"/>
          <wp:positionH relativeFrom="column">
            <wp:posOffset>-890270</wp:posOffset>
          </wp:positionH>
          <wp:positionV relativeFrom="paragraph">
            <wp:posOffset>-242570</wp:posOffset>
          </wp:positionV>
          <wp:extent cx="7578725" cy="1080770"/>
          <wp:effectExtent l="0" t="0" r="0" b="0"/>
          <wp:wrapNone/>
          <wp:docPr id="34" name="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jc w:val="right"/>
      <w:rPr/>
    </w:pPr>
    <w:r>
      <w:rPr/>
    </w:r>
  </w:p>
  <w:p>
    <w:pPr>
      <w:pStyle w:val="Cabealho"/>
      <w:tabs>
        <w:tab w:val="clear" w:pos="4252"/>
        <w:tab w:val="clear" w:pos="8504"/>
        <w:tab w:val="left" w:pos="3533" w:leader="none"/>
      </w:tabs>
      <w:rPr/>
    </w:pPr>
    <w:r>
      <w:rPr/>
      <w:tab/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170">
          <wp:simplePos x="0" y="0"/>
          <wp:positionH relativeFrom="column">
            <wp:posOffset>-862330</wp:posOffset>
          </wp:positionH>
          <wp:positionV relativeFrom="paragraph">
            <wp:posOffset>-437515</wp:posOffset>
          </wp:positionV>
          <wp:extent cx="7632700" cy="956945"/>
          <wp:effectExtent l="0" t="0" r="0" b="0"/>
          <wp:wrapNone/>
          <wp:docPr id="119" name="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" name="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91061"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171">
          <wp:simplePos x="0" y="0"/>
          <wp:positionH relativeFrom="column">
            <wp:posOffset>-862330</wp:posOffset>
          </wp:positionH>
          <wp:positionV relativeFrom="paragraph">
            <wp:posOffset>-437515</wp:posOffset>
          </wp:positionV>
          <wp:extent cx="7632700" cy="956945"/>
          <wp:effectExtent l="0" t="0" r="0" b="0"/>
          <wp:wrapNone/>
          <wp:docPr id="121" name="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" name="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91061"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173">
          <wp:simplePos x="0" y="0"/>
          <wp:positionH relativeFrom="column">
            <wp:posOffset>-862330</wp:posOffset>
          </wp:positionH>
          <wp:positionV relativeFrom="paragraph">
            <wp:posOffset>-437515</wp:posOffset>
          </wp:positionV>
          <wp:extent cx="7632700" cy="956945"/>
          <wp:effectExtent l="0" t="0" r="0" b="0"/>
          <wp:wrapNone/>
          <wp:docPr id="124" name="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91061"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181">
          <wp:simplePos x="0" y="0"/>
          <wp:positionH relativeFrom="column">
            <wp:posOffset>-862330</wp:posOffset>
          </wp:positionH>
          <wp:positionV relativeFrom="paragraph">
            <wp:posOffset>-437515</wp:posOffset>
          </wp:positionV>
          <wp:extent cx="7632700" cy="956945"/>
          <wp:effectExtent l="0" t="0" r="0" b="0"/>
          <wp:wrapNone/>
          <wp:docPr id="125" name="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91061"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4778" w:leader="none"/>
      </w:tabs>
      <w:ind w:left="-993" w:hanging="0"/>
      <w:rPr/>
    </w:pPr>
    <w:r>
      <w:drawing>
        <wp:anchor behindDoc="1" distT="0" distB="0" distL="0" distR="0" simplePos="0" locked="0" layoutInCell="0" allowOverlap="1" relativeHeight="125">
          <wp:simplePos x="0" y="0"/>
          <wp:positionH relativeFrom="column">
            <wp:posOffset>-928370</wp:posOffset>
          </wp:positionH>
          <wp:positionV relativeFrom="paragraph">
            <wp:posOffset>-303530</wp:posOffset>
          </wp:positionV>
          <wp:extent cx="7578725" cy="1080770"/>
          <wp:effectExtent l="0" t="0" r="0" b="0"/>
          <wp:wrapNone/>
          <wp:docPr id="37" name="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4252"/>
        <w:tab w:val="clear" w:pos="8504"/>
        <w:tab w:val="left" w:pos="980" w:leader="none"/>
        <w:tab w:val="center" w:pos="4038" w:leader="none"/>
      </w:tabs>
      <w:ind w:left="-993" w:hanging="0"/>
      <w:rPr/>
    </w:pPr>
    <w:r>
      <w:rPr/>
      <w:tab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4778" w:leader="none"/>
      </w:tabs>
      <w:ind w:left="-993" w:hanging="0"/>
      <w:rPr/>
    </w:pPr>
    <w:r>
      <w:drawing>
        <wp:anchor behindDoc="1" distT="0" distB="0" distL="0" distR="0" simplePos="0" locked="0" layoutInCell="0" allowOverlap="1" relativeHeight="126">
          <wp:simplePos x="0" y="0"/>
          <wp:positionH relativeFrom="column">
            <wp:posOffset>-928370</wp:posOffset>
          </wp:positionH>
          <wp:positionV relativeFrom="paragraph">
            <wp:posOffset>-303530</wp:posOffset>
          </wp:positionV>
          <wp:extent cx="7578725" cy="1080770"/>
          <wp:effectExtent l="0" t="0" r="0" b="0"/>
          <wp:wrapNone/>
          <wp:docPr id="39" name="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4252"/>
        <w:tab w:val="clear" w:pos="8504"/>
        <w:tab w:val="left" w:pos="980" w:leader="none"/>
        <w:tab w:val="center" w:pos="4038" w:leader="none"/>
      </w:tabs>
      <w:ind w:left="-993" w:hanging="0"/>
      <w:rPr/>
    </w:pPr>
    <w:r>
      <w:rPr/>
      <w:tab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4778" w:leader="none"/>
      </w:tabs>
      <w:ind w:left="-993" w:hanging="0"/>
      <w:rPr/>
    </w:pPr>
    <w:r>
      <w:drawing>
        <wp:anchor behindDoc="1" distT="0" distB="0" distL="0" distR="0" simplePos="0" locked="0" layoutInCell="0" allowOverlap="1" relativeHeight="128">
          <wp:simplePos x="0" y="0"/>
          <wp:positionH relativeFrom="column">
            <wp:posOffset>-928370</wp:posOffset>
          </wp:positionH>
          <wp:positionV relativeFrom="paragraph">
            <wp:posOffset>-303530</wp:posOffset>
          </wp:positionV>
          <wp:extent cx="7578725" cy="1080770"/>
          <wp:effectExtent l="0" t="0" r="0" b="0"/>
          <wp:wrapNone/>
          <wp:docPr id="42" name="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4252"/>
        <w:tab w:val="clear" w:pos="8504"/>
        <w:tab w:val="left" w:pos="980" w:leader="none"/>
        <w:tab w:val="center" w:pos="4038" w:leader="none"/>
      </w:tabs>
      <w:ind w:left="-993" w:hanging="0"/>
      <w:rPr/>
    </w:pPr>
    <w:r>
      <w:rPr/>
      <w:tab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4778" w:leader="none"/>
      </w:tabs>
      <w:ind w:left="-993" w:hanging="0"/>
      <w:rPr/>
    </w:pPr>
    <w:r>
      <w:drawing>
        <wp:anchor behindDoc="1" distT="0" distB="0" distL="0" distR="0" simplePos="0" locked="0" layoutInCell="0" allowOverlap="1" relativeHeight="129">
          <wp:simplePos x="0" y="0"/>
          <wp:positionH relativeFrom="column">
            <wp:posOffset>-928370</wp:posOffset>
          </wp:positionH>
          <wp:positionV relativeFrom="paragraph">
            <wp:posOffset>-303530</wp:posOffset>
          </wp:positionV>
          <wp:extent cx="7578725" cy="1080770"/>
          <wp:effectExtent l="0" t="0" r="0" b="0"/>
          <wp:wrapNone/>
          <wp:docPr id="45" name="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4252"/>
        <w:tab w:val="clear" w:pos="8504"/>
        <w:tab w:val="left" w:pos="980" w:leader="none"/>
        <w:tab w:val="center" w:pos="4038" w:leader="none"/>
      </w:tabs>
      <w:ind w:left="-993" w:hanging="0"/>
      <w:rPr/>
    </w:pPr>
    <w:r>
      <w:rPr/>
      <w:tab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4778" w:leader="none"/>
      </w:tabs>
      <w:ind w:left="-993" w:hanging="0"/>
      <w:rPr/>
    </w:pPr>
    <w:r>
      <w:drawing>
        <wp:anchor behindDoc="1" distT="0" distB="0" distL="0" distR="0" simplePos="0" locked="0" layoutInCell="0" allowOverlap="1" relativeHeight="134">
          <wp:simplePos x="0" y="0"/>
          <wp:positionH relativeFrom="column">
            <wp:posOffset>-928370</wp:posOffset>
          </wp:positionH>
          <wp:positionV relativeFrom="paragraph">
            <wp:posOffset>-303530</wp:posOffset>
          </wp:positionV>
          <wp:extent cx="7578725" cy="1080770"/>
          <wp:effectExtent l="0" t="0" r="0" b="0"/>
          <wp:wrapNone/>
          <wp:docPr id="51" name="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4252"/>
        <w:tab w:val="clear" w:pos="8504"/>
        <w:tab w:val="left" w:pos="980" w:leader="none"/>
        <w:tab w:val="center" w:pos="4038" w:leader="none"/>
      </w:tabs>
      <w:ind w:left="-993" w:hanging="0"/>
      <w:rPr/>
    </w:pPr>
    <w:r>
      <w:rPr/>
      <w:tab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4778" w:leader="none"/>
      </w:tabs>
      <w:ind w:left="-993" w:hanging="0"/>
      <w:rPr/>
    </w:pPr>
    <w:r>
      <w:drawing>
        <wp:anchor behindDoc="1" distT="0" distB="0" distL="0" distR="0" simplePos="0" locked="0" layoutInCell="0" allowOverlap="1" relativeHeight="136">
          <wp:simplePos x="0" y="0"/>
          <wp:positionH relativeFrom="column">
            <wp:posOffset>-928370</wp:posOffset>
          </wp:positionH>
          <wp:positionV relativeFrom="paragraph">
            <wp:posOffset>-303530</wp:posOffset>
          </wp:positionV>
          <wp:extent cx="7578725" cy="1080770"/>
          <wp:effectExtent l="0" t="0" r="0" b="0"/>
          <wp:wrapNone/>
          <wp:docPr id="54" name="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  <w:p>
    <w:pPr>
      <w:pStyle w:val="Cabealho"/>
      <w:tabs>
        <w:tab w:val="clear" w:pos="4252"/>
        <w:tab w:val="clear" w:pos="8504"/>
        <w:tab w:val="left" w:pos="980" w:leader="none"/>
        <w:tab w:val="center" w:pos="4038" w:leader="none"/>
      </w:tabs>
      <w:ind w:left="-993" w:hanging="0"/>
      <w:rPr/>
    </w:pPr>
    <w:r>
      <w:rPr/>
      <w:tab/>
      <w:tab/>
    </w:r>
  </w:p>
  <w:p>
    <w:pPr>
      <w:pStyle w:val="Cabealho"/>
      <w:tabs>
        <w:tab w:val="clear" w:pos="8504"/>
        <w:tab w:val="center" w:pos="4252" w:leader="none"/>
        <w:tab w:val="right" w:pos="9072" w:leader="none"/>
      </w:tabs>
      <w:ind w:left="-993" w:hanging="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"/>
      <w:lvlJc w:val="left"/>
      <w:pPr>
        <w:tabs>
          <w:tab w:val="num" w:pos="0"/>
        </w:tabs>
        <w:ind w:left="644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upperRoman"/>
      <w:lvlText w:val="%1."/>
      <w:lvlJc w:val="right"/>
      <w:pPr>
        <w:tabs>
          <w:tab w:val="num" w:pos="0"/>
        </w:tabs>
        <w:ind w:left="157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9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3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31" w:hanging="18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b/>
        <w:szCs w:val="28"/>
        <w:color w:val="006666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86" w:hanging="360"/>
      </w:pPr>
      <w:rPr>
        <w:color w:val="00666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4">
    <w:lvl w:ilvl="0">
      <w:start w:val="1"/>
      <w:numFmt w:val="bullet"/>
      <w:lvlText w:val=""/>
      <w:lvlJc w:val="left"/>
      <w:pPr>
        <w:tabs>
          <w:tab w:val="num" w:pos="0"/>
        </w:tabs>
        <w:ind w:left="502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383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45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52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9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67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74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81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88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9596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0"/>
        <w:b/>
        <w:color w:val="000099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86" w:hanging="360"/>
      </w:pPr>
      <w:rPr>
        <w:color w:val="00666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171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5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7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1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3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72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121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7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3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71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495" w:hanging="495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2160" w:hanging="360"/>
      </w:pPr>
      <w:rPr>
        <w:rFonts w:ascii="Calibri" w:hAnsi="Calibri" w:eastAsia="Calibri" w:cs="Calibri"/>
      </w:rPr>
    </w:lvl>
    <w:lvl w:ilvl="2">
      <w:start w:val="1"/>
      <w:numFmt w:val="lowerLetter"/>
      <w:lvlText w:val="%3."/>
      <w:lvlJc w:val="left"/>
      <w:pPr>
        <w:tabs>
          <w:tab w:val="num" w:pos="0"/>
        </w:tabs>
        <w:ind w:left="2628" w:hanging="360"/>
      </w:pPr>
      <w:rPr>
        <w:b w:val="false"/>
        <w:rFonts w:ascii="Calibri" w:hAnsi="Calibri" w:eastAsia="Calibri" w:cs="Calibri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upperRoman"/>
      <w:lvlText w:val="%1."/>
      <w:lvlJc w:val="right"/>
      <w:pPr>
        <w:tabs>
          <w:tab w:val="num" w:pos="0"/>
        </w:tabs>
        <w:ind w:left="1996" w:hanging="360"/>
      </w:pPr>
      <w:rPr>
        <w:b w:val="false"/>
        <w:bCs w:val="fals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7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4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1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8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5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3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0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756" w:hanging="180"/>
      </w:pPr>
    </w:lvl>
  </w:abstractNum>
  <w:abstractNum w:abstractNumId="12">
    <w:lvl w:ilvl="0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640" w:hanging="360"/>
      </w:pPr>
      <w:rPr>
        <w:rFonts w:ascii="Wingdings" w:hAnsi="Wingdings" w:cs="Wingdings" w:hint="default"/>
      </w:rPr>
    </w:lvl>
  </w:abstractNum>
  <w:abstractNum w:abstractNumId="13">
    <w:lvl w:ilvl="0">
      <w:start w:val="1"/>
      <w:numFmt w:val="upperRoman"/>
      <w:lvlText w:val="%1."/>
      <w:lvlJc w:val="right"/>
      <w:pPr>
        <w:tabs>
          <w:tab w:val="num" w:pos="0"/>
        </w:tabs>
        <w:ind w:left="1996" w:hanging="360"/>
      </w:pPr>
      <w:rPr>
        <w:b w:val="false"/>
        <w:bCs w:val="fals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7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4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1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8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5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3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0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756" w:hanging="180"/>
      </w:pPr>
    </w:lvl>
  </w:abstractNum>
  <w:abstractNum w:abstractNumId="14">
    <w:lvl w:ilvl="0">
      <w:start w:val="1"/>
      <w:numFmt w:val="bullet"/>
      <w:lvlText w:val="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5">
    <w:lvl w:ilvl="0">
      <w:start w:val="1"/>
      <w:numFmt w:val="upperLetter"/>
      <w:lvlText w:val="%1."/>
      <w:lvlJc w:val="left"/>
      <w:pPr>
        <w:tabs>
          <w:tab w:val="num" w:pos="0"/>
        </w:tabs>
        <w:ind w:left="135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16"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</w:lvl>
  </w:abstractNum>
  <w:abstractNum w:abstractNumId="17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18">
    <w:lvl w:ilvl="0">
      <w:start w:val="1"/>
      <w:numFmt w:val="upperRoman"/>
      <w:lvlText w:val="%1."/>
      <w:lvlJc w:val="right"/>
      <w:pPr>
        <w:tabs>
          <w:tab w:val="num" w:pos="0"/>
        </w:tabs>
        <w:ind w:left="1571" w:hanging="360"/>
      </w:pPr>
    </w:lvl>
    <w:lvl w:ilvl="1">
      <w:start w:val="0"/>
      <w:numFmt w:val="bullet"/>
      <w:lvlText w:val="•"/>
      <w:lvlJc w:val="left"/>
      <w:pPr>
        <w:tabs>
          <w:tab w:val="num" w:pos="0"/>
        </w:tabs>
        <w:ind w:left="2291" w:hanging="360"/>
      </w:pPr>
      <w:rPr>
        <w:rFonts w:ascii="Calibri" w:hAnsi="Calibri" w:cs="Calibri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3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31" w:hanging="180"/>
      </w:pPr>
    </w:lvl>
  </w:abstractNum>
  <w:abstractNum w:abstractNumId="19">
    <w:lvl w:ilvl="0">
      <w:start w:val="1"/>
      <w:numFmt w:val="lowerLetter"/>
      <w:lvlText w:val="%1)"/>
      <w:lvlJc w:val="left"/>
      <w:pPr>
        <w:tabs>
          <w:tab w:val="num" w:pos="0"/>
        </w:tabs>
        <w:ind w:left="1421" w:hanging="57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20">
    <w:lvl w:ilvl="0">
      <w:start w:val="1"/>
      <w:numFmt w:val="bullet"/>
      <w:lvlText w:val=""/>
      <w:lvlJc w:val="left"/>
      <w:pPr>
        <w:tabs>
          <w:tab w:val="num" w:pos="0"/>
        </w:tabs>
        <w:ind w:left="1421" w:hanging="57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831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21">
    <w:lvl w:ilvl="0">
      <w:start w:val="1"/>
      <w:numFmt w:val="bullet"/>
      <w:lvlText w:val=""/>
      <w:lvlJc w:val="left"/>
      <w:pPr>
        <w:tabs>
          <w:tab w:val="num" w:pos="0"/>
        </w:tabs>
        <w:ind w:left="121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7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3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71" w:hanging="360"/>
      </w:pPr>
      <w:rPr>
        <w:rFonts w:ascii="Wingdings" w:hAnsi="Wingdings" w:cs="Wingdings" w:hint="default"/>
      </w:rPr>
    </w:lvl>
  </w:abstractNum>
  <w:abstractNum w:abstractNumId="22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23">
    <w:lvl w:ilvl="0">
      <w:start w:val="1"/>
      <w:numFmt w:val="lowerLetter"/>
      <w:lvlText w:val="%1)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24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25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26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27">
    <w:lvl w:ilvl="0">
      <w:start w:val="1"/>
      <w:numFmt w:val="upperLetter"/>
      <w:lvlText w:val="%1."/>
      <w:lvlJc w:val="left"/>
      <w:pPr>
        <w:tabs>
          <w:tab w:val="num" w:pos="0"/>
        </w:tabs>
        <w:ind w:left="1211" w:hanging="360"/>
      </w:pPr>
      <w:rPr>
        <w:b/>
        <w:bCs w:val="fals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28">
    <w:lvl w:ilvl="0">
      <w:start w:val="1"/>
      <w:numFmt w:val="upperRoman"/>
      <w:lvlText w:val="%1."/>
      <w:lvlJc w:val="right"/>
      <w:pPr>
        <w:tabs>
          <w:tab w:val="num" w:pos="0"/>
        </w:tabs>
        <w:ind w:left="157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9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3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31" w:hanging="180"/>
      </w:pPr>
    </w:lvl>
  </w:abstractNum>
  <w:abstractNum w:abstractNumId="29">
    <w:lvl w:ilvl="0">
      <w:start w:val="1"/>
      <w:numFmt w:val="lowerLetter"/>
      <w:lvlText w:val="%1)"/>
      <w:lvlJc w:val="left"/>
      <w:pPr>
        <w:tabs>
          <w:tab w:val="num" w:pos="0"/>
        </w:tabs>
        <w:ind w:left="449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521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593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665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737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809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881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953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10252" w:hanging="180"/>
      </w:pPr>
    </w:lvl>
  </w:abstractNum>
  <w:abstractNum w:abstractNumId="30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9"/>
    <w:lvlOverride w:ilvl="2">
      <w:startOverride w:val="1"/>
    </w:lvlOverride>
  </w:num>
  <w:num w:numId="32">
    <w:abstractNumId w:val="11"/>
    <w:lvlOverride w:ilvl="0">
      <w:startOverride w:val="1"/>
    </w:lvlOverride>
  </w:num>
  <w:num w:numId="33">
    <w:abstractNumId w:val="13"/>
    <w:lvlOverride w:ilvl="0">
      <w:startOverride w:val="1"/>
    </w:lvlOverride>
  </w:num>
  <w:num w:numId="34">
    <w:abstractNumId w:val="15"/>
    <w:lvlOverride w:ilvl="0">
      <w:startOverride w:val="1"/>
    </w:lvlOverride>
  </w:num>
  <w:num w:numId="35">
    <w:abstractNumId w:val="16"/>
    <w:lvlOverride w:ilvl="2">
      <w:startOverride w:val="1"/>
    </w:lvlOverride>
  </w:num>
  <w:num w:numId="36">
    <w:abstractNumId w:val="18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90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22c56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Ttulo1">
    <w:name w:val="Heading 1"/>
    <w:basedOn w:val="ListParagraph"/>
    <w:next w:val="Normal"/>
    <w:link w:val="Ttulo1Char"/>
    <w:uiPriority w:val="9"/>
    <w:qFormat/>
    <w:rsid w:val="002c0b66"/>
    <w:pPr>
      <w:spacing w:lineRule="auto" w:line="360"/>
      <w:ind w:left="0" w:hanging="0"/>
      <w:outlineLvl w:val="0"/>
    </w:pPr>
    <w:rPr>
      <w:rFonts w:cs="Calibri"/>
      <w:b/>
    </w:rPr>
  </w:style>
  <w:style w:type="paragraph" w:styleId="Ttulo2">
    <w:name w:val="Heading 2"/>
    <w:basedOn w:val="ListParagraph"/>
    <w:next w:val="Normal"/>
    <w:link w:val="Ttulo2Char"/>
    <w:uiPriority w:val="9"/>
    <w:unhideWhenUsed/>
    <w:qFormat/>
    <w:rsid w:val="002c0b66"/>
    <w:pPr>
      <w:tabs>
        <w:tab w:val="clear" w:pos="708"/>
        <w:tab w:val="left" w:pos="1276" w:leader="none"/>
        <w:tab w:val="left" w:pos="1418" w:leader="none"/>
      </w:tabs>
      <w:spacing w:lineRule="auto" w:line="360"/>
      <w:ind w:left="0" w:hanging="0"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a709e"/>
    <w:pPr>
      <w:tabs>
        <w:tab w:val="clear" w:pos="708"/>
        <w:tab w:val="left" w:pos="0" w:leader="none"/>
        <w:tab w:val="left" w:pos="1418" w:leader="none"/>
      </w:tabs>
      <w:spacing w:lineRule="auto" w:line="360" w:before="0" w:after="0"/>
      <w:ind w:left="720" w:right="253" w:hanging="0"/>
      <w:outlineLvl w:val="2"/>
    </w:pPr>
    <w:rPr>
      <w:rFonts w:ascii="Calibri" w:hAnsi="Calibri" w:eastAsia="Times New Roman" w:cs="Calibri"/>
      <w:b/>
      <w:color w:val="006666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22c56"/>
    <w:pPr>
      <w:keepNext w:val="true"/>
      <w:keepLines/>
      <w:spacing w:before="40" w:after="0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510fc"/>
    <w:pPr>
      <w:keepNext w:val="true"/>
      <w:keepLines/>
      <w:spacing w:before="40" w:after="0"/>
      <w:outlineLvl w:val="4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emEspaamentoChar" w:customStyle="1">
    <w:name w:val="Sem Espaçamento Char"/>
    <w:basedOn w:val="DefaultParagraphFont"/>
    <w:link w:val="SemEspaamento"/>
    <w:uiPriority w:val="1"/>
    <w:qFormat/>
    <w:rsid w:val="00752f73"/>
    <w:rPr>
      <w:rFonts w:eastAsia="" w:eastAsiaTheme="minorEastAsia"/>
      <w:lang w:eastAsia="pt-BR"/>
    </w:rPr>
  </w:style>
  <w:style w:type="character" w:styleId="RodapChar" w:customStyle="1">
    <w:name w:val="Rodapé Char"/>
    <w:basedOn w:val="DefaultParagraphFont"/>
    <w:link w:val="Rodap"/>
    <w:uiPriority w:val="99"/>
    <w:qFormat/>
    <w:rsid w:val="002b5e6e"/>
    <w:rPr>
      <w:rFonts w:eastAsia="" w:eastAsiaTheme="minorEastAsia"/>
      <w:lang w:eastAsia="pt-BR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2b5e6e"/>
    <w:rPr/>
  </w:style>
  <w:style w:type="character" w:styleId="Ttulo1Char" w:customStyle="1">
    <w:name w:val="Título 1 Char"/>
    <w:basedOn w:val="DefaultParagraphFont"/>
    <w:link w:val="Ttulo1"/>
    <w:uiPriority w:val="9"/>
    <w:qFormat/>
    <w:rsid w:val="002c0b66"/>
    <w:rPr>
      <w:rFonts w:eastAsia="" w:cs="Calibri" w:eastAsiaTheme="minorEastAsia"/>
      <w:b/>
      <w:lang w:eastAsia="pt-BR"/>
    </w:rPr>
  </w:style>
  <w:style w:type="character" w:styleId="LinkdaInternet">
    <w:name w:val="Link da Internet"/>
    <w:basedOn w:val="DefaultParagraphFont"/>
    <w:uiPriority w:val="99"/>
    <w:unhideWhenUsed/>
    <w:rsid w:val="00a02cb0"/>
    <w:rPr>
      <w:color w:val="0563C1" w:themeColor="hyperlink"/>
      <w:u w:val="single"/>
    </w:rPr>
  </w:style>
  <w:style w:type="character" w:styleId="TextodenotaderodapChar" w:customStyle="1">
    <w:name w:val="Texto de nota de rodapé Char"/>
    <w:basedOn w:val="DefaultParagraphFont"/>
    <w:link w:val="Textodenotaderodap"/>
    <w:uiPriority w:val="99"/>
    <w:qFormat/>
    <w:rsid w:val="00a02cb0"/>
    <w:rPr>
      <w:rFonts w:eastAsia="" w:eastAsiaTheme="minorEastAsia"/>
      <w:sz w:val="20"/>
      <w:szCs w:val="20"/>
      <w:lang w:eastAsia="pt-BR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a02cb0"/>
    <w:rPr>
      <w:vertAlign w:val="superscript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aa2f4a"/>
    <w:rPr>
      <w:rFonts w:ascii="Tahoma" w:hAnsi="Tahoma" w:cs="Tahoma"/>
      <w:sz w:val="16"/>
      <w:szCs w:val="16"/>
    </w:rPr>
  </w:style>
  <w:style w:type="character" w:styleId="Ttulo2Char" w:customStyle="1">
    <w:name w:val="Título 2 Char"/>
    <w:basedOn w:val="DefaultParagraphFont"/>
    <w:link w:val="Ttulo2"/>
    <w:uiPriority w:val="9"/>
    <w:qFormat/>
    <w:rsid w:val="002c0b66"/>
    <w:rPr>
      <w:rFonts w:eastAsia="" w:eastAsiaTheme="minorEastAsia"/>
      <w:b/>
      <w:bCs/>
      <w:lang w:eastAsia="pt-BR"/>
    </w:rPr>
  </w:style>
  <w:style w:type="character" w:styleId="Ttulo3Char" w:customStyle="1">
    <w:name w:val="Título 3 Char"/>
    <w:basedOn w:val="DefaultParagraphFont"/>
    <w:link w:val="Ttulo3"/>
    <w:uiPriority w:val="9"/>
    <w:qFormat/>
    <w:rsid w:val="001a709e"/>
    <w:rPr>
      <w:rFonts w:ascii="Calibri" w:hAnsi="Calibri" w:eastAsia="Times New Roman" w:cs="Calibri"/>
      <w:b/>
      <w:color w:val="006666"/>
      <w:sz w:val="24"/>
      <w:szCs w:val="24"/>
    </w:rPr>
  </w:style>
  <w:style w:type="character" w:styleId="PargrafodaListaChar" w:customStyle="1">
    <w:name w:val="Parágrafo da Lista Char"/>
    <w:basedOn w:val="DefaultParagraphFont"/>
    <w:link w:val="PargrafodaLista"/>
    <w:uiPriority w:val="34"/>
    <w:qFormat/>
    <w:rsid w:val="00591c41"/>
    <w:rPr>
      <w:rFonts w:eastAsia="" w:eastAsiaTheme="minorEastAsia"/>
      <w:lang w:eastAsia="pt-BR"/>
    </w:rPr>
  </w:style>
  <w:style w:type="character" w:styleId="TextodenotadefimChar" w:customStyle="1">
    <w:name w:val="Texto de nota de fim Char"/>
    <w:basedOn w:val="DefaultParagraphFont"/>
    <w:link w:val="Textodenotadefim"/>
    <w:uiPriority w:val="99"/>
    <w:semiHidden/>
    <w:qFormat/>
    <w:rsid w:val="00456ae1"/>
    <w:rPr>
      <w:sz w:val="20"/>
      <w:szCs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456ae1"/>
    <w:rPr>
      <w:vertAlign w:val="superscript"/>
    </w:rPr>
  </w:style>
  <w:style w:type="character" w:styleId="Ttulo4Char" w:customStyle="1">
    <w:name w:val="Título 4 Char"/>
    <w:basedOn w:val="DefaultParagraphFont"/>
    <w:link w:val="Ttulo4"/>
    <w:uiPriority w:val="9"/>
    <w:qFormat/>
    <w:rsid w:val="00c22c56"/>
    <w:rPr>
      <w:rFonts w:ascii="Calibri Light" w:hAnsi="Calibri Light" w:eastAsia="" w:cs="" w:asciiTheme="majorHAnsi" w:cstheme="majorBidi" w:eastAsiaTheme="majorEastAsia" w:hAnsiTheme="majorHAnsi"/>
      <w:i/>
      <w:iCs/>
      <w:color w:val="2E74B5" w:themeColor="accent1" w:themeShade="bf"/>
    </w:rPr>
  </w:style>
  <w:style w:type="character" w:styleId="AnexoChar" w:customStyle="1">
    <w:name w:val="Anexo Char"/>
    <w:basedOn w:val="Ttulo1Char"/>
    <w:link w:val="Anexo"/>
    <w:qFormat/>
    <w:rsid w:val="00c22c56"/>
    <w:rPr>
      <w:rFonts w:eastAsia="Arial Unicode MS" w:cs="Calibri"/>
      <w:b/>
      <w:sz w:val="28"/>
      <w:lang w:eastAsia="pt-BR"/>
    </w:rPr>
  </w:style>
  <w:style w:type="character" w:styleId="Linkdainternetvisitado">
    <w:name w:val="Link da internet visitado"/>
    <w:basedOn w:val="DefaultParagraphFont"/>
    <w:uiPriority w:val="99"/>
    <w:semiHidden/>
    <w:unhideWhenUsed/>
    <w:rsid w:val="00330467"/>
    <w:rPr>
      <w:color w:val="954F72" w:themeColor="followedHyperlink"/>
      <w:u w:val="singl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933a2d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/>
    <w:qFormat/>
    <w:rsid w:val="00933a2d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933a2d"/>
    <w:rPr>
      <w:b/>
      <w:bCs/>
      <w:sz w:val="20"/>
      <w:szCs w:val="20"/>
    </w:rPr>
  </w:style>
  <w:style w:type="character" w:styleId="Ttulo5Char" w:customStyle="1">
    <w:name w:val="Título 5 Char"/>
    <w:basedOn w:val="DefaultParagraphFont"/>
    <w:link w:val="Ttulo5"/>
    <w:uiPriority w:val="9"/>
    <w:semiHidden/>
    <w:qFormat/>
    <w:rsid w:val="000510fc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</w:rPr>
  </w:style>
  <w:style w:type="character" w:styleId="Strong">
    <w:name w:val="Strong"/>
    <w:basedOn w:val="DefaultParagraphFont"/>
    <w:uiPriority w:val="22"/>
    <w:qFormat/>
    <w:rsid w:val="00ec00ce"/>
    <w:rPr>
      <w:b/>
      <w:bCs/>
    </w:rPr>
  </w:style>
  <w:style w:type="character" w:styleId="Nfase">
    <w:name w:val="Ênfase"/>
    <w:basedOn w:val="DefaultParagraphFont"/>
    <w:uiPriority w:val="20"/>
    <w:qFormat/>
    <w:rsid w:val="00d514e9"/>
    <w:rPr>
      <w:i/>
      <w:iCs/>
    </w:rPr>
  </w:style>
  <w:style w:type="character" w:styleId="PlaceholderText">
    <w:name w:val="Placeholder Text"/>
    <w:basedOn w:val="DefaultParagraphFont"/>
    <w:uiPriority w:val="99"/>
    <w:semiHidden/>
    <w:qFormat/>
    <w:rsid w:val="00c5100b"/>
    <w:rPr>
      <w:color w:val="808080"/>
    </w:rPr>
  </w:style>
  <w:style w:type="character" w:styleId="Vnculodendice">
    <w:name w:val="Vínculo de índice"/>
    <w:qFormat/>
    <w:rPr/>
  </w:style>
  <w:style w:type="character" w:styleId="Caracteresdenotaderodap">
    <w:name w:val="Caracteres de nota de rodapé"/>
    <w:qFormat/>
    <w:rPr/>
  </w:style>
  <w:style w:type="character" w:styleId="Caracteresdenotadefim">
    <w:name w:val="Caracteres de nota de fim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Spacing">
    <w:name w:val="No Spacing"/>
    <w:link w:val="SemEspaamentoChar"/>
    <w:uiPriority w:val="1"/>
    <w:qFormat/>
    <w:rsid w:val="00752f73"/>
    <w:pPr>
      <w:widowControl/>
      <w:bidi w:val="0"/>
      <w:spacing w:lineRule="auto" w:line="240" w:before="0" w:after="0"/>
      <w:jc w:val="left"/>
    </w:pPr>
    <w:rPr>
      <w:rFonts w:eastAsia="" w:eastAsiaTheme="minorEastAsia" w:ascii="Calibri" w:hAnsi="Calibri" w:cs=""/>
      <w:color w:val="auto"/>
      <w:kern w:val="0"/>
      <w:sz w:val="22"/>
      <w:szCs w:val="22"/>
      <w:lang w:eastAsia="pt-BR" w:val="pt-BR" w:bidi="ar-SA"/>
    </w:rPr>
  </w:style>
  <w:style w:type="paragraph" w:styleId="CabealhoeRodap">
    <w:name w:val="Cabeçalho e Rodapé"/>
    <w:basedOn w:val="Normal"/>
    <w:qFormat/>
    <w:pPr/>
    <w:rPr/>
  </w:style>
  <w:style w:type="paragraph" w:styleId="Rodap">
    <w:name w:val="Footer"/>
    <w:basedOn w:val="Normal"/>
    <w:link w:val="RodapChar"/>
    <w:uiPriority w:val="99"/>
    <w:unhideWhenUsed/>
    <w:rsid w:val="002b5e6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>
      <w:rFonts w:eastAsia="" w:eastAsiaTheme="minorEastAsia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b5e6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link w:val="PargrafodaListaChar"/>
    <w:uiPriority w:val="34"/>
    <w:qFormat/>
    <w:rsid w:val="00a02cb0"/>
    <w:pPr>
      <w:spacing w:lineRule="auto" w:line="276" w:before="0" w:after="200"/>
      <w:ind w:left="720" w:hanging="0"/>
      <w:contextualSpacing/>
    </w:pPr>
    <w:rPr>
      <w:rFonts w:eastAsia="" w:eastAsiaTheme="minorEastAsia"/>
      <w:lang w:eastAsia="pt-BR"/>
    </w:rPr>
  </w:style>
  <w:style w:type="paragraph" w:styleId="Default" w:customStyle="1">
    <w:name w:val="Default"/>
    <w:uiPriority w:val="99"/>
    <w:qFormat/>
    <w:rsid w:val="00a02cb0"/>
    <w:pPr>
      <w:widowControl/>
      <w:bidi w:val="0"/>
      <w:spacing w:lineRule="auto" w:line="240" w:before="0" w:after="0"/>
      <w:jc w:val="left"/>
    </w:pPr>
    <w:rPr>
      <w:rFonts w:ascii="Calibri" w:hAnsi="Calibri" w:eastAsia="Cambria" w:cs="Calibri"/>
      <w:color w:val="000000"/>
      <w:kern w:val="0"/>
      <w:sz w:val="24"/>
      <w:szCs w:val="24"/>
      <w:lang w:eastAsia="pt-BR" w:val="pt-BR" w:bidi="ar-SA"/>
    </w:rPr>
  </w:style>
  <w:style w:type="paragraph" w:styleId="Notaderodap">
    <w:name w:val="Footnote Text"/>
    <w:basedOn w:val="Normal"/>
    <w:link w:val="TextodenotaderodapChar"/>
    <w:uiPriority w:val="99"/>
    <w:unhideWhenUsed/>
    <w:rsid w:val="00a02cb0"/>
    <w:pPr>
      <w:spacing w:lineRule="auto" w:line="240" w:before="0" w:after="0"/>
    </w:pPr>
    <w:rPr>
      <w:rFonts w:eastAsia="" w:eastAsiaTheme="minorEastAsia"/>
      <w:sz w:val="20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aa2f4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OCHeading">
    <w:name w:val="TOC Heading"/>
    <w:basedOn w:val="Ttulo1"/>
    <w:next w:val="Normal"/>
    <w:uiPriority w:val="39"/>
    <w:unhideWhenUsed/>
    <w:qFormat/>
    <w:rsid w:val="00ef7fa9"/>
    <w:pPr>
      <w:keepNext w:val="true"/>
      <w:keepLines/>
      <w:spacing w:lineRule="auto" w:line="276" w:before="480" w:after="0"/>
    </w:pPr>
    <w:rPr>
      <w:rFonts w:ascii="Calibri Light" w:hAnsi="Calibri Light" w:eastAsia="" w:cs="" w:asciiTheme="majorHAnsi" w:cstheme="majorBidi" w:eastAsiaTheme="majorEastAsia" w:hAnsiTheme="majorHAnsi"/>
      <w:bCs/>
      <w:color w:val="2E74B5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a81ade"/>
    <w:pPr>
      <w:tabs>
        <w:tab w:val="clear" w:pos="708"/>
        <w:tab w:val="left" w:pos="440" w:leader="none"/>
        <w:tab w:val="right" w:pos="9060" w:leader="dot"/>
      </w:tabs>
      <w:spacing w:before="120" w:after="120"/>
    </w:pPr>
    <w:rPr>
      <w:rFonts w:cs="Calibri" w:cstheme="minorHAnsi"/>
      <w:b/>
      <w:bCs/>
      <w:cap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7c4d56"/>
    <w:pPr>
      <w:spacing w:before="0" w:after="0"/>
      <w:ind w:left="220" w:hanging="0"/>
    </w:pPr>
    <w:rPr>
      <w:rFonts w:cs="Calibri" w:cstheme="minorHAnsi"/>
      <w:small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e71cd2"/>
    <w:pPr>
      <w:spacing w:before="0" w:after="0"/>
      <w:ind w:left="440" w:hanging="0"/>
    </w:pPr>
    <w:rPr>
      <w:rFonts w:cs="Calibri" w:cstheme="minorHAnsi"/>
      <w:i/>
      <w:iCs/>
      <w:sz w:val="20"/>
      <w:szCs w:val="20"/>
    </w:rPr>
  </w:style>
  <w:style w:type="paragraph" w:styleId="Notadefim">
    <w:name w:val="Endnote Text"/>
    <w:basedOn w:val="Normal"/>
    <w:link w:val="TextodenotadefimChar"/>
    <w:uiPriority w:val="99"/>
    <w:semiHidden/>
    <w:unhideWhenUsed/>
    <w:rsid w:val="00456ae1"/>
    <w:pPr>
      <w:spacing w:lineRule="auto" w:line="240" w:before="0" w:after="0"/>
    </w:pPr>
    <w:rPr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341864"/>
    <w:pPr>
      <w:spacing w:before="0" w:after="0"/>
      <w:ind w:left="660" w:hanging="0"/>
    </w:pPr>
    <w:rPr>
      <w:rFonts w:cs="Calibri" w:cstheme="minorHAnsi"/>
      <w:sz w:val="18"/>
      <w:szCs w:val="18"/>
    </w:rPr>
  </w:style>
  <w:style w:type="paragraph" w:styleId="Anexo" w:customStyle="1">
    <w:name w:val="Anexo"/>
    <w:basedOn w:val="Ttulo1"/>
    <w:link w:val="AnexoChar"/>
    <w:qFormat/>
    <w:rsid w:val="00c22c56"/>
    <w:pPr>
      <w:ind w:left="1418" w:hanging="0"/>
    </w:pPr>
    <w:rPr>
      <w:rFonts w:eastAsia="Arial Unicode MS"/>
      <w:sz w:val="28"/>
    </w:rPr>
  </w:style>
  <w:style w:type="paragraph" w:styleId="Sumrio5">
    <w:name w:val="TOC 5"/>
    <w:basedOn w:val="Normal"/>
    <w:next w:val="Normal"/>
    <w:autoRedefine/>
    <w:uiPriority w:val="39"/>
    <w:unhideWhenUsed/>
    <w:rsid w:val="00341864"/>
    <w:pPr>
      <w:spacing w:before="0" w:after="0"/>
      <w:ind w:left="880" w:hanging="0"/>
    </w:pPr>
    <w:rPr>
      <w:rFonts w:cs="Calibri"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341864"/>
    <w:pPr>
      <w:spacing w:before="0" w:after="0"/>
      <w:ind w:left="1100" w:hanging="0"/>
    </w:pPr>
    <w:rPr>
      <w:rFonts w:cs="Calibri"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341864"/>
    <w:pPr>
      <w:spacing w:before="0" w:after="0"/>
      <w:ind w:left="1320" w:hanging="0"/>
    </w:pPr>
    <w:rPr>
      <w:rFonts w:cs="Calibri"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341864"/>
    <w:pPr>
      <w:spacing w:before="0" w:after="0"/>
      <w:ind w:left="1540" w:hanging="0"/>
    </w:pPr>
    <w:rPr>
      <w:rFonts w:cs="Calibri"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341864"/>
    <w:pPr>
      <w:spacing w:before="0" w:after="0"/>
      <w:ind w:left="1760" w:hanging="0"/>
    </w:pPr>
    <w:rPr>
      <w:rFonts w:cs="Calibri" w:cstheme="minorHAnsi"/>
      <w:sz w:val="18"/>
      <w:szCs w:val="18"/>
    </w:rPr>
  </w:style>
  <w:style w:type="paragraph" w:styleId="Quadros" w:customStyle="1">
    <w:name w:val="Quadros"/>
    <w:basedOn w:val="Sumrio2"/>
    <w:uiPriority w:val="99"/>
    <w:qFormat/>
    <w:rsid w:val="00bb4245"/>
    <w:pPr/>
    <w:rPr>
      <w:lang w:eastAsia="pt-BR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933a2d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933a2d"/>
    <w:pPr/>
    <w:rPr>
      <w:b/>
      <w:bCs/>
    </w:rPr>
  </w:style>
  <w:style w:type="paragraph" w:styleId="Msonormal" w:customStyle="1">
    <w:name w:val="msonormal"/>
    <w:basedOn w:val="Normal"/>
    <w:uiPriority w:val="99"/>
    <w:semiHidden/>
    <w:qFormat/>
    <w:rsid w:val="00aa60a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qFormat/>
    <w:rsid w:val="00aa60a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a02cb0"/>
    <w:pPr>
      <w:spacing w:after="0" w:line="240" w:lineRule="auto"/>
    </w:pPr>
    <w:rPr>
      <w:rFonts w:eastAsiaTheme="minorEastAsia"/>
      <w:lang w:eastAsia="pt-BR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transparencia.caubr.gov.br/deliberacao-plenaria-dpobr-0108-05-2/" TargetMode="External"/><Relationship Id="rId4" Type="http://schemas.openxmlformats.org/officeDocument/2006/relationships/image" Target="media/image2.wmf"/><Relationship Id="rId5" Type="http://schemas.openxmlformats.org/officeDocument/2006/relationships/image" Target="media/image3.wmf"/><Relationship Id="rId6" Type="http://schemas.openxmlformats.org/officeDocument/2006/relationships/image" Target="media/image4.wmf"/><Relationship Id="rId7" Type="http://schemas.openxmlformats.org/officeDocument/2006/relationships/hyperlink" Target="mailto:planejamento@caubr.gov.br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7.wmf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image" Target="media/image10.wmf"/><Relationship Id="rId18" Type="http://schemas.openxmlformats.org/officeDocument/2006/relationships/header" Target="header5.xml"/><Relationship Id="rId19" Type="http://schemas.openxmlformats.org/officeDocument/2006/relationships/footer" Target="footer5.xml"/><Relationship Id="rId20" Type="http://schemas.openxmlformats.org/officeDocument/2006/relationships/header" Target="header6.xml"/><Relationship Id="rId21" Type="http://schemas.openxmlformats.org/officeDocument/2006/relationships/footer" Target="footer6.xml"/><Relationship Id="rId22" Type="http://schemas.openxmlformats.org/officeDocument/2006/relationships/image" Target="media/image13.wmf"/><Relationship Id="rId23" Type="http://schemas.openxmlformats.org/officeDocument/2006/relationships/image" Target="media/image14.wmf"/><Relationship Id="rId24" Type="http://schemas.openxmlformats.org/officeDocument/2006/relationships/header" Target="header7.xml"/><Relationship Id="rId25" Type="http://schemas.openxmlformats.org/officeDocument/2006/relationships/footer" Target="footer7.xml"/><Relationship Id="rId26" Type="http://schemas.openxmlformats.org/officeDocument/2006/relationships/image" Target="media/image16.wmf"/><Relationship Id="rId27" Type="http://schemas.openxmlformats.org/officeDocument/2006/relationships/header" Target="header8.xml"/><Relationship Id="rId28" Type="http://schemas.openxmlformats.org/officeDocument/2006/relationships/footer" Target="footer8.xml"/><Relationship Id="rId29" Type="http://schemas.openxmlformats.org/officeDocument/2006/relationships/image" Target="media/image18.wmf"/><Relationship Id="rId30" Type="http://schemas.openxmlformats.org/officeDocument/2006/relationships/image" Target="media/image19.wmf"/><Relationship Id="rId31" Type="http://schemas.openxmlformats.org/officeDocument/2006/relationships/header" Target="header9.xml"/><Relationship Id="rId32" Type="http://schemas.openxmlformats.org/officeDocument/2006/relationships/footer" Target="footer9.xml"/><Relationship Id="rId33" Type="http://schemas.openxmlformats.org/officeDocument/2006/relationships/header" Target="header10.xml"/><Relationship Id="rId34" Type="http://schemas.openxmlformats.org/officeDocument/2006/relationships/footer" Target="footer10.xml"/><Relationship Id="rId35" Type="http://schemas.openxmlformats.org/officeDocument/2006/relationships/image" Target="media/image22.png"/><Relationship Id="rId36" Type="http://schemas.openxmlformats.org/officeDocument/2006/relationships/header" Target="header11.xml"/><Relationship Id="rId37" Type="http://schemas.openxmlformats.org/officeDocument/2006/relationships/footer" Target="footer11.xml"/><Relationship Id="rId38" Type="http://schemas.openxmlformats.org/officeDocument/2006/relationships/image" Target="media/image24.wmf"/><Relationship Id="rId39" Type="http://schemas.openxmlformats.org/officeDocument/2006/relationships/image" Target="media/image25.wmf"/><Relationship Id="rId40" Type="http://schemas.openxmlformats.org/officeDocument/2006/relationships/header" Target="header12.xml"/><Relationship Id="rId41" Type="http://schemas.openxmlformats.org/officeDocument/2006/relationships/footer" Target="footer12.xml"/><Relationship Id="rId42" Type="http://schemas.openxmlformats.org/officeDocument/2006/relationships/header" Target="header13.xml"/><Relationship Id="rId43" Type="http://schemas.openxmlformats.org/officeDocument/2006/relationships/footer" Target="footer13.xml"/><Relationship Id="rId44" Type="http://schemas.openxmlformats.org/officeDocument/2006/relationships/image" Target="media/image28.wmf"/><Relationship Id="rId45" Type="http://schemas.openxmlformats.org/officeDocument/2006/relationships/header" Target="header14.xml"/><Relationship Id="rId46" Type="http://schemas.openxmlformats.org/officeDocument/2006/relationships/footer" Target="footer14.xml"/><Relationship Id="rId47" Type="http://schemas.openxmlformats.org/officeDocument/2006/relationships/image" Target="media/image30.wmf"/><Relationship Id="rId48" Type="http://schemas.openxmlformats.org/officeDocument/2006/relationships/header" Target="header15.xml"/><Relationship Id="rId49" Type="http://schemas.openxmlformats.org/officeDocument/2006/relationships/footer" Target="footer15.xml"/><Relationship Id="rId50" Type="http://schemas.openxmlformats.org/officeDocument/2006/relationships/image" Target="media/image32.wmf"/><Relationship Id="rId51" Type="http://schemas.openxmlformats.org/officeDocument/2006/relationships/image" Target="media/image33.wmf"/><Relationship Id="rId52" Type="http://schemas.openxmlformats.org/officeDocument/2006/relationships/header" Target="header16.xml"/><Relationship Id="rId53" Type="http://schemas.openxmlformats.org/officeDocument/2006/relationships/footer" Target="footer16.xml"/><Relationship Id="rId54" Type="http://schemas.openxmlformats.org/officeDocument/2006/relationships/image" Target="media/image35.wmf"/><Relationship Id="rId55" Type="http://schemas.openxmlformats.org/officeDocument/2006/relationships/header" Target="header17.xml"/><Relationship Id="rId56" Type="http://schemas.openxmlformats.org/officeDocument/2006/relationships/footer" Target="footer17.xml"/><Relationship Id="rId57" Type="http://schemas.openxmlformats.org/officeDocument/2006/relationships/image" Target="media/image37.wmf"/><Relationship Id="rId58" Type="http://schemas.openxmlformats.org/officeDocument/2006/relationships/header" Target="header18.xml"/><Relationship Id="rId59" Type="http://schemas.openxmlformats.org/officeDocument/2006/relationships/footer" Target="footer18.xml"/><Relationship Id="rId60" Type="http://schemas.openxmlformats.org/officeDocument/2006/relationships/image" Target="media/image39.wmf"/><Relationship Id="rId61" Type="http://schemas.openxmlformats.org/officeDocument/2006/relationships/header" Target="header19.xml"/><Relationship Id="rId62" Type="http://schemas.openxmlformats.org/officeDocument/2006/relationships/footer" Target="footer19.xml"/><Relationship Id="rId63" Type="http://schemas.openxmlformats.org/officeDocument/2006/relationships/image" Target="media/image41.wmf"/><Relationship Id="rId64" Type="http://schemas.openxmlformats.org/officeDocument/2006/relationships/header" Target="header20.xml"/><Relationship Id="rId65" Type="http://schemas.openxmlformats.org/officeDocument/2006/relationships/footer" Target="footer20.xml"/><Relationship Id="rId66" Type="http://schemas.openxmlformats.org/officeDocument/2006/relationships/image" Target="media/image43.wmf"/><Relationship Id="rId67" Type="http://schemas.openxmlformats.org/officeDocument/2006/relationships/header" Target="header21.xml"/><Relationship Id="rId68" Type="http://schemas.openxmlformats.org/officeDocument/2006/relationships/footer" Target="footer21.xml"/><Relationship Id="rId69" Type="http://schemas.openxmlformats.org/officeDocument/2006/relationships/image" Target="media/image45.wmf"/><Relationship Id="rId70" Type="http://schemas.openxmlformats.org/officeDocument/2006/relationships/image" Target="media/image46.wmf"/><Relationship Id="rId71" Type="http://schemas.openxmlformats.org/officeDocument/2006/relationships/image" Target="media/image47.wmf"/><Relationship Id="rId72" Type="http://schemas.openxmlformats.org/officeDocument/2006/relationships/header" Target="header22.xml"/><Relationship Id="rId73" Type="http://schemas.openxmlformats.org/officeDocument/2006/relationships/footer" Target="footer22.xml"/><Relationship Id="rId74" Type="http://schemas.openxmlformats.org/officeDocument/2006/relationships/image" Target="media/image49.wmf"/><Relationship Id="rId75" Type="http://schemas.openxmlformats.org/officeDocument/2006/relationships/header" Target="header23.xml"/><Relationship Id="rId76" Type="http://schemas.openxmlformats.org/officeDocument/2006/relationships/footer" Target="footer23.xml"/><Relationship Id="rId77" Type="http://schemas.openxmlformats.org/officeDocument/2006/relationships/image" Target="media/image51.wmf"/><Relationship Id="rId78" Type="http://schemas.openxmlformats.org/officeDocument/2006/relationships/header" Target="header24.xml"/><Relationship Id="rId79" Type="http://schemas.openxmlformats.org/officeDocument/2006/relationships/footer" Target="footer24.xml"/><Relationship Id="rId80" Type="http://schemas.openxmlformats.org/officeDocument/2006/relationships/header" Target="header25.xml"/><Relationship Id="rId81" Type="http://schemas.openxmlformats.org/officeDocument/2006/relationships/footer" Target="footer25.xml"/><Relationship Id="rId82" Type="http://schemas.openxmlformats.org/officeDocument/2006/relationships/image" Target="media/image55.wmf"/><Relationship Id="rId83" Type="http://schemas.openxmlformats.org/officeDocument/2006/relationships/image" Target="media/image56.wmf"/><Relationship Id="rId84" Type="http://schemas.openxmlformats.org/officeDocument/2006/relationships/image" Target="media/image57.wmf"/><Relationship Id="rId85" Type="http://schemas.openxmlformats.org/officeDocument/2006/relationships/header" Target="header26.xml"/><Relationship Id="rId86" Type="http://schemas.openxmlformats.org/officeDocument/2006/relationships/footer" Target="footer26.xml"/><Relationship Id="rId87" Type="http://schemas.openxmlformats.org/officeDocument/2006/relationships/header" Target="header27.xml"/><Relationship Id="rId88" Type="http://schemas.openxmlformats.org/officeDocument/2006/relationships/footer" Target="footer27.xml"/><Relationship Id="rId89" Type="http://schemas.openxmlformats.org/officeDocument/2006/relationships/image" Target="media/image60.png"/><Relationship Id="rId90" Type="http://schemas.openxmlformats.org/officeDocument/2006/relationships/image" Target="media/image61.jpeg"/><Relationship Id="rId91" Type="http://schemas.openxmlformats.org/officeDocument/2006/relationships/header" Target="header28.xml"/><Relationship Id="rId92" Type="http://schemas.openxmlformats.org/officeDocument/2006/relationships/footer" Target="footer28.xml"/><Relationship Id="rId93" Type="http://schemas.openxmlformats.org/officeDocument/2006/relationships/image" Target="media/image63.wmf"/><Relationship Id="rId94" Type="http://schemas.openxmlformats.org/officeDocument/2006/relationships/header" Target="header29.xml"/><Relationship Id="rId95" Type="http://schemas.openxmlformats.org/officeDocument/2006/relationships/footer" Target="footer29.xml"/><Relationship Id="rId96" Type="http://schemas.openxmlformats.org/officeDocument/2006/relationships/image" Target="media/image65.wmf"/><Relationship Id="rId97" Type="http://schemas.openxmlformats.org/officeDocument/2006/relationships/header" Target="header30.xml"/><Relationship Id="rId98" Type="http://schemas.openxmlformats.org/officeDocument/2006/relationships/footer" Target="footer30.xml"/><Relationship Id="rId99" Type="http://schemas.openxmlformats.org/officeDocument/2006/relationships/image" Target="media/image67.wmf"/><Relationship Id="rId100" Type="http://schemas.openxmlformats.org/officeDocument/2006/relationships/header" Target="header31.xml"/><Relationship Id="rId101" Type="http://schemas.openxmlformats.org/officeDocument/2006/relationships/footer" Target="footer31.xml"/><Relationship Id="rId102" Type="http://schemas.openxmlformats.org/officeDocument/2006/relationships/image" Target="media/image69.wmf"/><Relationship Id="rId103" Type="http://schemas.openxmlformats.org/officeDocument/2006/relationships/image" Target="media/image70.wmf"/><Relationship Id="rId104" Type="http://schemas.openxmlformats.org/officeDocument/2006/relationships/header" Target="header32.xml"/><Relationship Id="rId105" Type="http://schemas.openxmlformats.org/officeDocument/2006/relationships/footer" Target="footer32.xml"/><Relationship Id="rId106" Type="http://schemas.openxmlformats.org/officeDocument/2006/relationships/header" Target="header33.xml"/><Relationship Id="rId107" Type="http://schemas.openxmlformats.org/officeDocument/2006/relationships/footer" Target="footer33.xml"/><Relationship Id="rId108" Type="http://schemas.openxmlformats.org/officeDocument/2006/relationships/footnotes" Target="footnotes.xml"/><Relationship Id="rId109" Type="http://schemas.openxmlformats.org/officeDocument/2006/relationships/numbering" Target="numbering.xml"/><Relationship Id="rId110" Type="http://schemas.openxmlformats.org/officeDocument/2006/relationships/fontTable" Target="fontTable.xml"/><Relationship Id="rId111" Type="http://schemas.openxmlformats.org/officeDocument/2006/relationships/settings" Target="settings.xml"/><Relationship Id="rId112" Type="http://schemas.openxmlformats.org/officeDocument/2006/relationships/theme" Target="theme/theme1.xml"/><Relationship Id="rId113" Type="http://schemas.openxmlformats.org/officeDocument/2006/relationships/customXml" Target="../customXml/item1.xml"/>
</Relationships>
</file>

<file path=word/_rels/footer25.xml.rels><?xml version="1.0" encoding="UTF-8"?>
<Relationships xmlns="http://schemas.openxmlformats.org/package/2006/relationships"><Relationship Id="rId1" Type="http://schemas.openxmlformats.org/officeDocument/2006/relationships/image" Target="media/image5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jpeg"/>
</Relationships>
</file>

<file path=word/_rels/header10.xml.rels><?xml version="1.0" encoding="UTF-8"?>
<Relationships xmlns="http://schemas.openxmlformats.org/package/2006/relationships"><Relationship Id="rId1" Type="http://schemas.openxmlformats.org/officeDocument/2006/relationships/image" Target="media/image21.jpeg"/>
</Relationships>
</file>

<file path=word/_rels/header11.xml.rels><?xml version="1.0" encoding="UTF-8"?>
<Relationships xmlns="http://schemas.openxmlformats.org/package/2006/relationships"><Relationship Id="rId1" Type="http://schemas.openxmlformats.org/officeDocument/2006/relationships/image" Target="media/image23.jpeg"/>
</Relationships>
</file>

<file path=word/_rels/header12.xml.rels><?xml version="1.0" encoding="UTF-8"?>
<Relationships xmlns="http://schemas.openxmlformats.org/package/2006/relationships"><Relationship Id="rId1" Type="http://schemas.openxmlformats.org/officeDocument/2006/relationships/image" Target="media/image26.jpeg"/>
</Relationships>
</file>

<file path=word/_rels/header13.xml.rels><?xml version="1.0" encoding="UTF-8"?>
<Relationships xmlns="http://schemas.openxmlformats.org/package/2006/relationships"><Relationship Id="rId1" Type="http://schemas.openxmlformats.org/officeDocument/2006/relationships/image" Target="media/image27.jpeg"/>
</Relationships>
</file>

<file path=word/_rels/header14.xml.rels><?xml version="1.0" encoding="UTF-8"?>
<Relationships xmlns="http://schemas.openxmlformats.org/package/2006/relationships"><Relationship Id="rId1" Type="http://schemas.openxmlformats.org/officeDocument/2006/relationships/image" Target="media/image29.jpeg"/>
</Relationships>
</file>

<file path=word/_rels/header15.xml.rels><?xml version="1.0" encoding="UTF-8"?>
<Relationships xmlns="http://schemas.openxmlformats.org/package/2006/relationships"><Relationship Id="rId1" Type="http://schemas.openxmlformats.org/officeDocument/2006/relationships/image" Target="media/image31.jpeg"/>
</Relationships>
</file>

<file path=word/_rels/header16.xml.rels><?xml version="1.0" encoding="UTF-8"?>
<Relationships xmlns="http://schemas.openxmlformats.org/package/2006/relationships"><Relationship Id="rId1" Type="http://schemas.openxmlformats.org/officeDocument/2006/relationships/image" Target="media/image34.jpeg"/>
</Relationships>
</file>

<file path=word/_rels/header17.xml.rels><?xml version="1.0" encoding="UTF-8"?>
<Relationships xmlns="http://schemas.openxmlformats.org/package/2006/relationships"><Relationship Id="rId1" Type="http://schemas.openxmlformats.org/officeDocument/2006/relationships/image" Target="media/image36.jpeg"/>
</Relationships>
</file>

<file path=word/_rels/header18.xml.rels><?xml version="1.0" encoding="UTF-8"?>
<Relationships xmlns="http://schemas.openxmlformats.org/package/2006/relationships"><Relationship Id="rId1" Type="http://schemas.openxmlformats.org/officeDocument/2006/relationships/image" Target="media/image38.jpeg"/>
</Relationships>
</file>

<file path=word/_rels/header19.xml.rels><?xml version="1.0" encoding="UTF-8"?>
<Relationships xmlns="http://schemas.openxmlformats.org/package/2006/relationships"><Relationship Id="rId1" Type="http://schemas.openxmlformats.org/officeDocument/2006/relationships/image" Target="media/image40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word/_rels/header20.xml.rels><?xml version="1.0" encoding="UTF-8"?>
<Relationships xmlns="http://schemas.openxmlformats.org/package/2006/relationships"><Relationship Id="rId1" Type="http://schemas.openxmlformats.org/officeDocument/2006/relationships/image" Target="media/image42.jpeg"/>
</Relationships>
</file>

<file path=word/_rels/header21.xml.rels><?xml version="1.0" encoding="UTF-8"?>
<Relationships xmlns="http://schemas.openxmlformats.org/package/2006/relationships"><Relationship Id="rId1" Type="http://schemas.openxmlformats.org/officeDocument/2006/relationships/image" Target="media/image44.jpeg"/>
</Relationships>
</file>

<file path=word/_rels/header22.xml.rels><?xml version="1.0" encoding="UTF-8"?>
<Relationships xmlns="http://schemas.openxmlformats.org/package/2006/relationships"><Relationship Id="rId1" Type="http://schemas.openxmlformats.org/officeDocument/2006/relationships/image" Target="media/image48.jpeg"/>
</Relationships>
</file>

<file path=word/_rels/header23.xml.rels><?xml version="1.0" encoding="UTF-8"?>
<Relationships xmlns="http://schemas.openxmlformats.org/package/2006/relationships"><Relationship Id="rId1" Type="http://schemas.openxmlformats.org/officeDocument/2006/relationships/image" Target="media/image50.jpeg"/>
</Relationships>
</file>

<file path=word/_rels/header24.xml.rels><?xml version="1.0" encoding="UTF-8"?>
<Relationships xmlns="http://schemas.openxmlformats.org/package/2006/relationships"><Relationship Id="rId1" Type="http://schemas.openxmlformats.org/officeDocument/2006/relationships/image" Target="media/image52.jpeg"/>
</Relationships>
</file>

<file path=word/_rels/header25.xml.rels><?xml version="1.0" encoding="UTF-8"?>
<Relationships xmlns="http://schemas.openxmlformats.org/package/2006/relationships"><Relationship Id="rId1" Type="http://schemas.openxmlformats.org/officeDocument/2006/relationships/image" Target="media/image53.jpeg"/>
</Relationships>
</file>

<file path=word/_rels/header26.xml.rels><?xml version="1.0" encoding="UTF-8"?>
<Relationships xmlns="http://schemas.openxmlformats.org/package/2006/relationships"><Relationship Id="rId1" Type="http://schemas.openxmlformats.org/officeDocument/2006/relationships/image" Target="media/image58.jpeg"/>
</Relationships>
</file>

<file path=word/_rels/header27.xml.rels><?xml version="1.0" encoding="UTF-8"?>
<Relationships xmlns="http://schemas.openxmlformats.org/package/2006/relationships"><Relationship Id="rId1" Type="http://schemas.openxmlformats.org/officeDocument/2006/relationships/image" Target="media/image59.jpeg"/>
</Relationships>
</file>

<file path=word/_rels/header28.xml.rels><?xml version="1.0" encoding="UTF-8"?>
<Relationships xmlns="http://schemas.openxmlformats.org/package/2006/relationships"><Relationship Id="rId1" Type="http://schemas.openxmlformats.org/officeDocument/2006/relationships/image" Target="media/image62.jpeg"/>
</Relationships>
</file>

<file path=word/_rels/header29.xml.rels><?xml version="1.0" encoding="UTF-8"?>
<Relationships xmlns="http://schemas.openxmlformats.org/package/2006/relationships"><Relationship Id="rId1" Type="http://schemas.openxmlformats.org/officeDocument/2006/relationships/image" Target="media/image64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8.jpeg"/>
</Relationships>
</file>

<file path=word/_rels/header30.xml.rels><?xml version="1.0" encoding="UTF-8"?>
<Relationships xmlns="http://schemas.openxmlformats.org/package/2006/relationships"><Relationship Id="rId1" Type="http://schemas.openxmlformats.org/officeDocument/2006/relationships/image" Target="media/image66.jpeg"/>
</Relationships>
</file>

<file path=word/_rels/header31.xml.rels><?xml version="1.0" encoding="UTF-8"?>
<Relationships xmlns="http://schemas.openxmlformats.org/package/2006/relationships"><Relationship Id="rId1" Type="http://schemas.openxmlformats.org/officeDocument/2006/relationships/image" Target="media/image68.jpeg"/>
</Relationships>
</file>

<file path=word/_rels/header32.xml.rels><?xml version="1.0" encoding="UTF-8"?>
<Relationships xmlns="http://schemas.openxmlformats.org/package/2006/relationships"><Relationship Id="rId1" Type="http://schemas.openxmlformats.org/officeDocument/2006/relationships/image" Target="media/image71.jpeg"/>
</Relationships>
</file>

<file path=word/_rels/header33.xml.rels><?xml version="1.0" encoding="UTF-8"?>
<Relationships xmlns="http://schemas.openxmlformats.org/package/2006/relationships"><Relationship Id="rId1" Type="http://schemas.openxmlformats.org/officeDocument/2006/relationships/image" Target="media/image72.jpe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9.jpe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11.jpe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12.jpeg"/>
</Relationships>
</file>

<file path=word/_rels/header7.xml.rels><?xml version="1.0" encoding="UTF-8"?>
<Relationships xmlns="http://schemas.openxmlformats.org/package/2006/relationships"><Relationship Id="rId1" Type="http://schemas.openxmlformats.org/officeDocument/2006/relationships/image" Target="media/image15.jpeg"/>
</Relationships>
</file>

<file path=word/_rels/header8.xml.rels><?xml version="1.0" encoding="UTF-8"?>
<Relationships xmlns="http://schemas.openxmlformats.org/package/2006/relationships"><Relationship Id="rId1" Type="http://schemas.openxmlformats.org/officeDocument/2006/relationships/image" Target="media/image17.jpeg"/>
</Relationships>
</file>

<file path=word/_rels/header9.xml.rels><?xml version="1.0" encoding="UTF-8"?>
<Relationships xmlns="http://schemas.openxmlformats.org/package/2006/relationships"><Relationship Id="rId1" Type="http://schemas.openxmlformats.org/officeDocument/2006/relationships/image" Target="media/image20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A3BD6-817F-4EF1-8928-E51DA3EAE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Application>LibreOffice/7.1.3.2$Windows_X86_64 LibreOffice_project/47f78053abe362b9384784d31a6e56f8511eb1c1</Application>
  <AppVersion>15.0000</AppVersion>
  <Pages>80</Pages>
  <Words>11570</Words>
  <Characters>65374</Characters>
  <CharactersWithSpaces>78914</CharactersWithSpaces>
  <Paragraphs>912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2021-07-30T16:37:00Z</dcterms:created>
  <dc:creator>Tania M C Daldegan</dc:creator>
  <dc:description/>
  <dc:language>pt-BR</dc:language>
  <cp:lastModifiedBy>Tania Mara Chaves Daldegan</cp:lastModifiedBy>
  <cp:lastPrinted>2021-07-30T17:26:00Z</cp:lastPrinted>
  <dcterms:modified xsi:type="dcterms:W3CDTF">2021-07-30T17:29:00Z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