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53" w:rsidRPr="00CF58D7" w:rsidRDefault="00DA7CB8" w:rsidP="00315253">
      <w:pPr>
        <w:jc w:val="center"/>
        <w:rPr>
          <w:b/>
          <w:bCs/>
          <w:lang w:val="pt-BR" w:eastAsia="x-none"/>
        </w:rPr>
      </w:pPr>
      <w:r>
        <w:rPr>
          <w:b/>
          <w:bCs/>
          <w:lang w:val="pt-BR" w:eastAsia="x-none"/>
        </w:rPr>
        <w:t>ANEXO XIII</w:t>
      </w:r>
      <w:r w:rsidR="00F80701">
        <w:rPr>
          <w:b/>
          <w:bCs/>
          <w:lang w:val="pt-BR" w:eastAsia="x-none"/>
        </w:rPr>
        <w:t xml:space="preserve"> - RETIFICADO</w:t>
      </w:r>
      <w:bookmarkStart w:id="0" w:name="_GoBack"/>
      <w:bookmarkEnd w:id="0"/>
    </w:p>
    <w:p w:rsidR="00315253" w:rsidRPr="00CF58D7" w:rsidRDefault="00315253" w:rsidP="00315253">
      <w:pPr>
        <w:jc w:val="center"/>
        <w:rPr>
          <w:b/>
          <w:lang w:val="pt-BR"/>
        </w:rPr>
      </w:pPr>
    </w:p>
    <w:p w:rsidR="0062599C" w:rsidRDefault="0062599C" w:rsidP="0062599C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  <w:r w:rsidRPr="0062599C">
        <w:rPr>
          <w:rFonts w:eastAsia="Calibri"/>
          <w:b/>
          <w:color w:val="000000"/>
          <w:sz w:val="22"/>
          <w:szCs w:val="22"/>
          <w:lang w:val="pt-BR" w:eastAsia="pt-BR"/>
        </w:rPr>
        <w:t>EDITAL DE</w:t>
      </w:r>
      <w:r w:rsidR="001623EE">
        <w:rPr>
          <w:rFonts w:eastAsia="Calibri"/>
          <w:b/>
          <w:color w:val="000000"/>
          <w:sz w:val="22"/>
          <w:szCs w:val="22"/>
          <w:lang w:val="pt-BR" w:eastAsia="pt-BR"/>
        </w:rPr>
        <w:t xml:space="preserve"> CHAMAMENTO PÚBLICO Nº 001/2021</w:t>
      </w:r>
    </w:p>
    <w:p w:rsidR="0062599C" w:rsidRDefault="0062599C" w:rsidP="0062599C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  <w:r w:rsidRPr="0062599C">
        <w:rPr>
          <w:rFonts w:eastAsia="Calibri"/>
          <w:b/>
          <w:color w:val="000000"/>
          <w:sz w:val="22"/>
          <w:szCs w:val="22"/>
          <w:lang w:val="pt-BR" w:eastAsia="pt-BR"/>
        </w:rPr>
        <w:t>PATROCÍNIO CULTURAL, TÉCNICO E DE PATRIMÔNIO HISTÓRICO</w:t>
      </w:r>
    </w:p>
    <w:p w:rsidR="00380ED0" w:rsidRDefault="00380ED0" w:rsidP="0062599C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</w:p>
    <w:p w:rsidR="00315253" w:rsidRPr="00CF58D7" w:rsidRDefault="00315253" w:rsidP="0062599C">
      <w:pPr>
        <w:spacing w:before="120"/>
        <w:jc w:val="center"/>
        <w:rPr>
          <w:b/>
          <w:lang w:val="pt-BR" w:eastAsia="x-none"/>
        </w:rPr>
      </w:pPr>
      <w:r w:rsidRPr="00CF58D7">
        <w:rPr>
          <w:b/>
          <w:bCs/>
          <w:u w:val="single"/>
          <w:lang w:val="pt-BR" w:eastAsia="x-none"/>
        </w:rPr>
        <w:t>CRONOGRAMA PREVISTO</w:t>
      </w:r>
    </w:p>
    <w:tbl>
      <w:tblPr>
        <w:tblpPr w:leftFromText="141" w:rightFromText="141" w:vertAnchor="text" w:horzAnchor="margin" w:tblpY="174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339"/>
        <w:gridCol w:w="1977"/>
      </w:tblGrid>
      <w:tr w:rsidR="00315253" w:rsidRPr="00CF58D7" w:rsidTr="00097609">
        <w:trPr>
          <w:trHeight w:val="502"/>
        </w:trPr>
        <w:tc>
          <w:tcPr>
            <w:tcW w:w="3286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39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7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27</w:t>
            </w:r>
            <w:r w:rsidR="00634057">
              <w:rPr>
                <w:sz w:val="22"/>
                <w:szCs w:val="22"/>
                <w:lang w:val="pt-BR"/>
              </w:rPr>
              <w:t>/10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1153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26</w:t>
            </w:r>
            <w:r w:rsidR="001623EE">
              <w:rPr>
                <w:sz w:val="22"/>
                <w:szCs w:val="22"/>
                <w:lang w:val="pt-BR"/>
              </w:rPr>
              <w:t>/11/2021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06</w:t>
            </w:r>
            <w:r w:rsidR="00274C27">
              <w:rPr>
                <w:sz w:val="22"/>
                <w:szCs w:val="22"/>
                <w:lang w:val="pt-BR"/>
              </w:rPr>
              <w:t>/12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1450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6F2E25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</w:t>
            </w:r>
            <w:r w:rsidR="0006253C" w:rsidRPr="00634057">
              <w:rPr>
                <w:sz w:val="22"/>
                <w:szCs w:val="22"/>
                <w:lang w:val="pt-BR"/>
              </w:rPr>
              <w:t>/</w:t>
            </w:r>
            <w:r w:rsidR="006F2E25">
              <w:rPr>
                <w:sz w:val="22"/>
                <w:szCs w:val="22"/>
                <w:lang w:val="pt-BR"/>
              </w:rPr>
              <w:t>12/2021</w:t>
            </w:r>
          </w:p>
        </w:tc>
      </w:tr>
      <w:tr w:rsidR="00315253" w:rsidRPr="00CF58D7" w:rsidTr="00097609">
        <w:trPr>
          <w:trHeight w:val="856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14</w:t>
            </w:r>
            <w:r w:rsidR="001623EE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6F2E25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  <w:r w:rsidR="00380ED0">
              <w:rPr>
                <w:sz w:val="22"/>
                <w:szCs w:val="22"/>
                <w:lang w:val="pt-BR"/>
              </w:rPr>
              <w:t>5</w:t>
            </w:r>
            <w:r w:rsidR="001623EE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315253" w:rsidRPr="00CF58D7" w:rsidTr="00097609">
        <w:trPr>
          <w:trHeight w:val="1165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</w:t>
            </w:r>
            <w:r w:rsidR="00E568E6" w:rsidRPr="0002095C">
              <w:rPr>
                <w:sz w:val="22"/>
                <w:szCs w:val="22"/>
                <w:lang w:val="pt-BR"/>
              </w:rPr>
              <w:t>/12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BE43DB" w:rsidP="001623EE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31</w:t>
            </w:r>
            <w:r w:rsidR="001623EE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315253" w:rsidRPr="00CF58D7" w:rsidTr="00097609">
        <w:trPr>
          <w:trHeight w:val="1454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02095C">
              <w:rPr>
                <w:sz w:val="22"/>
                <w:szCs w:val="22"/>
                <w:lang w:val="pt-BR"/>
              </w:rPr>
              <w:t>Aprovação na</w:t>
            </w:r>
            <w:r w:rsidR="005C3E8A">
              <w:rPr>
                <w:sz w:val="22"/>
                <w:szCs w:val="22"/>
                <w:lang w:val="pt-BR"/>
              </w:rPr>
              <w:t xml:space="preserve"> Plenária até 12</w:t>
            </w:r>
            <w:r w:rsidR="006F2E25">
              <w:rPr>
                <w:sz w:val="22"/>
                <w:szCs w:val="22"/>
                <w:lang w:val="pt-BR"/>
              </w:rPr>
              <w:t>/01/2022</w:t>
            </w:r>
          </w:p>
        </w:tc>
      </w:tr>
    </w:tbl>
    <w:p w:rsidR="00315253" w:rsidRPr="00CF58D7" w:rsidRDefault="00315253" w:rsidP="00315253">
      <w:pPr>
        <w:rPr>
          <w:lang w:val="pt-BR"/>
        </w:rPr>
      </w:pPr>
    </w:p>
    <w:p w:rsidR="00AA4E17" w:rsidRPr="00CF58D7" w:rsidRDefault="00AA4E17" w:rsidP="00315253">
      <w:pPr>
        <w:rPr>
          <w:lang w:val="pt-BR"/>
        </w:rPr>
      </w:pPr>
    </w:p>
    <w:sectPr w:rsidR="00AA4E17" w:rsidRPr="00CF58D7" w:rsidSect="00315253">
      <w:headerReference w:type="default" r:id="rId7"/>
      <w:footerReference w:type="even" r:id="rId8"/>
      <w:footerReference w:type="default" r:id="rId9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B" w:rsidRDefault="002F710B">
      <w:r>
        <w:separator/>
      </w:r>
    </w:p>
  </w:endnote>
  <w:endnote w:type="continuationSeparator" w:id="0">
    <w:p w:rsidR="002F710B" w:rsidRDefault="002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B" w:rsidRDefault="002F710B">
      <w:r>
        <w:separator/>
      </w:r>
    </w:p>
  </w:footnote>
  <w:footnote w:type="continuationSeparator" w:id="0">
    <w:p w:rsidR="002F710B" w:rsidRDefault="002F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F80701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F80701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1433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095C"/>
    <w:rsid w:val="00025C68"/>
    <w:rsid w:val="0006253C"/>
    <w:rsid w:val="000645E5"/>
    <w:rsid w:val="00084658"/>
    <w:rsid w:val="000E2A0B"/>
    <w:rsid w:val="000F71B8"/>
    <w:rsid w:val="00104D16"/>
    <w:rsid w:val="00112244"/>
    <w:rsid w:val="001623EE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74C27"/>
    <w:rsid w:val="00286408"/>
    <w:rsid w:val="002E6514"/>
    <w:rsid w:val="002F710B"/>
    <w:rsid w:val="00301CD7"/>
    <w:rsid w:val="00315253"/>
    <w:rsid w:val="00321C8F"/>
    <w:rsid w:val="00380ED0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3E8A"/>
    <w:rsid w:val="005C79D2"/>
    <w:rsid w:val="005D1909"/>
    <w:rsid w:val="005E250C"/>
    <w:rsid w:val="0062599C"/>
    <w:rsid w:val="00634057"/>
    <w:rsid w:val="006351BC"/>
    <w:rsid w:val="00635D73"/>
    <w:rsid w:val="00660E4E"/>
    <w:rsid w:val="006E60C7"/>
    <w:rsid w:val="006F2E25"/>
    <w:rsid w:val="006F2E87"/>
    <w:rsid w:val="00735320"/>
    <w:rsid w:val="00774C1A"/>
    <w:rsid w:val="007B4158"/>
    <w:rsid w:val="007D7AA4"/>
    <w:rsid w:val="008363DD"/>
    <w:rsid w:val="008576A7"/>
    <w:rsid w:val="008860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4E3F"/>
    <w:rsid w:val="00B042FE"/>
    <w:rsid w:val="00B04FF1"/>
    <w:rsid w:val="00B2786E"/>
    <w:rsid w:val="00B57260"/>
    <w:rsid w:val="00B9748A"/>
    <w:rsid w:val="00B97EAD"/>
    <w:rsid w:val="00BA0DE7"/>
    <w:rsid w:val="00BA1CF3"/>
    <w:rsid w:val="00BB7DA2"/>
    <w:rsid w:val="00BD55BA"/>
    <w:rsid w:val="00BE43DB"/>
    <w:rsid w:val="00C64AA4"/>
    <w:rsid w:val="00C66BE5"/>
    <w:rsid w:val="00C94D51"/>
    <w:rsid w:val="00CE5829"/>
    <w:rsid w:val="00CF58D7"/>
    <w:rsid w:val="00D45CC1"/>
    <w:rsid w:val="00D802A3"/>
    <w:rsid w:val="00DA7CB8"/>
    <w:rsid w:val="00DC5BF8"/>
    <w:rsid w:val="00DC6EE4"/>
    <w:rsid w:val="00DF0DDB"/>
    <w:rsid w:val="00E31DE2"/>
    <w:rsid w:val="00E34F2A"/>
    <w:rsid w:val="00E413E3"/>
    <w:rsid w:val="00E568E6"/>
    <w:rsid w:val="00E675FA"/>
    <w:rsid w:val="00E77B41"/>
    <w:rsid w:val="00E92EB7"/>
    <w:rsid w:val="00EE7160"/>
    <w:rsid w:val="00F421EB"/>
    <w:rsid w:val="00F539A8"/>
    <w:rsid w:val="00F80701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1747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2016-07-18T17:35:00Z</cp:lastPrinted>
  <dcterms:created xsi:type="dcterms:W3CDTF">2021-10-22T15:16:00Z</dcterms:created>
  <dcterms:modified xsi:type="dcterms:W3CDTF">2021-10-27T15:10:00Z</dcterms:modified>
</cp:coreProperties>
</file>