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81" w:rsidRDefault="00C74C10">
      <w:pPr>
        <w:pStyle w:val="Ttulo1"/>
        <w:spacing w:after="0" w:line="264" w:lineRule="auto"/>
        <w:ind w:left="0" w:firstLine="0"/>
        <w:jc w:val="center"/>
        <w:rPr>
          <w:rFonts w:ascii="Times New Roman" w:hAnsi="Times New Roman" w:cs="Times New Roman"/>
        </w:rPr>
      </w:pPr>
      <w:r>
        <w:rPr>
          <w:rFonts w:ascii="Times New Roman" w:hAnsi="Times New Roman" w:cs="Times New Roman"/>
        </w:rPr>
        <w:t>EDITAL DE CHAMAMENTO PÚBLICO Nº 002/2021</w:t>
      </w:r>
    </w:p>
    <w:p w:rsidR="00630581" w:rsidRDefault="00C74C10">
      <w:pPr>
        <w:pStyle w:val="Ttulo1"/>
        <w:spacing w:after="0" w:line="264" w:lineRule="auto"/>
        <w:ind w:left="0" w:firstLine="0"/>
        <w:jc w:val="center"/>
        <w:rPr>
          <w:rFonts w:ascii="Times New Roman" w:hAnsi="Times New Roman" w:cs="Times New Roman"/>
        </w:rPr>
      </w:pPr>
      <w:r>
        <w:rPr>
          <w:rFonts w:ascii="Times New Roman" w:hAnsi="Times New Roman" w:cs="Times New Roman"/>
        </w:rPr>
        <w:t>ASSISTÊNCIA TÉCNICA PARA A HABITAÇÃO DE INTERESSE SOCIAL</w:t>
      </w:r>
    </w:p>
    <w:p w:rsidR="00630581" w:rsidRDefault="00C74C10">
      <w:pPr>
        <w:pStyle w:val="Ttulo1"/>
        <w:spacing w:after="0" w:line="264" w:lineRule="auto"/>
        <w:ind w:left="0" w:firstLine="0"/>
        <w:jc w:val="center"/>
        <w:rPr>
          <w:rFonts w:ascii="Times New Roman" w:hAnsi="Times New Roman" w:cs="Times New Roman"/>
        </w:rPr>
      </w:pPr>
      <w:r>
        <w:rPr>
          <w:rFonts w:ascii="Times New Roman" w:hAnsi="Times New Roman" w:cs="Times New Roman"/>
        </w:rPr>
        <w:t>– ATHIS –</w:t>
      </w:r>
    </w:p>
    <w:p w:rsidR="00630581" w:rsidRDefault="00630581">
      <w:pPr>
        <w:spacing w:line="264" w:lineRule="auto"/>
        <w:rPr>
          <w:sz w:val="22"/>
          <w:szCs w:val="22"/>
        </w:rPr>
      </w:pPr>
    </w:p>
    <w:p w:rsidR="00630581" w:rsidRDefault="00C74C10">
      <w:pPr>
        <w:spacing w:line="264" w:lineRule="auto"/>
        <w:jc w:val="both"/>
        <w:rPr>
          <w:sz w:val="22"/>
          <w:szCs w:val="22"/>
        </w:rPr>
      </w:pPr>
      <w:r>
        <w:rPr>
          <w:sz w:val="22"/>
          <w:szCs w:val="22"/>
        </w:rPr>
        <w:t xml:space="preserve">O Conselho de Arquitetura e Urbanismo do Paraná – CAU/PR, Autarquia Federal criada pela da Lei nº 12.378, de 31 de dezembro de 2010, dotada de </w:t>
      </w:r>
      <w:r>
        <w:rPr>
          <w:sz w:val="22"/>
          <w:szCs w:val="22"/>
        </w:rPr>
        <w:t>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w:t>
      </w:r>
      <w:r>
        <w:rPr>
          <w:sz w:val="22"/>
          <w:szCs w:val="22"/>
        </w:rPr>
        <w:t>ntes pertinentes à matéria, com a finalidade de selecionar Organizações da Sociedade Civil (OSC) para firmar parceria, por meio de Termo de Fomento, para o desenvolvimento e a execução de projetos de Apoio à Assistência Técnica Habitacional de Interesse So</w:t>
      </w:r>
      <w:r>
        <w:rPr>
          <w:sz w:val="22"/>
          <w:szCs w:val="22"/>
        </w:rPr>
        <w:t>cial (ATHIS), conforme as condições estabelecidas neste Edital e seus anexos.</w:t>
      </w:r>
    </w:p>
    <w:p w:rsidR="00630581" w:rsidRDefault="00630581">
      <w:pPr>
        <w:pStyle w:val="PargrafodaLista"/>
        <w:spacing w:line="264" w:lineRule="auto"/>
        <w:ind w:left="0"/>
        <w:jc w:val="both"/>
        <w:rPr>
          <w:rFonts w:ascii="Times New Roman" w:hAnsi="Times New Roman"/>
          <w:color w:val="FF0000"/>
          <w:sz w:val="22"/>
          <w:szCs w:val="22"/>
        </w:rPr>
      </w:pPr>
    </w:p>
    <w:p w:rsidR="00630581" w:rsidRDefault="00C74C10">
      <w:pPr>
        <w:pStyle w:val="PargrafodaLista"/>
        <w:numPr>
          <w:ilvl w:val="0"/>
          <w:numId w:val="3"/>
        </w:numPr>
        <w:spacing w:after="240"/>
        <w:ind w:left="567" w:hanging="567"/>
        <w:jc w:val="both"/>
        <w:rPr>
          <w:rFonts w:ascii="Times New Roman" w:hAnsi="Times New Roman"/>
          <w:b/>
          <w:sz w:val="22"/>
          <w:szCs w:val="22"/>
        </w:rPr>
      </w:pPr>
      <w:r>
        <w:rPr>
          <w:rFonts w:ascii="Times New Roman" w:hAnsi="Times New Roman"/>
          <w:b/>
          <w:sz w:val="22"/>
          <w:szCs w:val="22"/>
        </w:rPr>
        <w:t>DO OBJETO</w:t>
      </w:r>
    </w:p>
    <w:p w:rsidR="00630581" w:rsidRDefault="00C74C10">
      <w:pPr>
        <w:pStyle w:val="PargrafodaLista"/>
        <w:numPr>
          <w:ilvl w:val="1"/>
          <w:numId w:val="3"/>
        </w:numPr>
        <w:spacing w:before="120"/>
        <w:ind w:left="567" w:hanging="567"/>
        <w:jc w:val="both"/>
        <w:rPr>
          <w:rFonts w:ascii="Times New Roman" w:hAnsi="Times New Roman"/>
          <w:sz w:val="22"/>
          <w:szCs w:val="22"/>
        </w:rPr>
      </w:pPr>
      <w:r>
        <w:rPr>
          <w:rFonts w:ascii="Times New Roman" w:hAnsi="Times New Roman"/>
          <w:sz w:val="22"/>
          <w:szCs w:val="22"/>
        </w:rPr>
        <w:t>Este Chamamento Público tem por objeto a seleção de Organizações da Sociedade Civil (OSC) para firmar parceria com o Conselho de Arquitetura e Urbanismo de Paraná – CA</w:t>
      </w:r>
      <w:r>
        <w:rPr>
          <w:rFonts w:ascii="Times New Roman" w:hAnsi="Times New Roman"/>
          <w:sz w:val="22"/>
          <w:szCs w:val="22"/>
        </w:rPr>
        <w:t xml:space="preserve">U/PR, por meio de Termo de Fomento, para o desenvolvimento e a execução de projetos </w:t>
      </w:r>
      <w:r>
        <w:rPr>
          <w:rFonts w:ascii="Times New Roman" w:hAnsi="Times New Roman"/>
          <w:color w:val="000000"/>
          <w:sz w:val="22"/>
          <w:szCs w:val="22"/>
        </w:rPr>
        <w:t>que visem contribuir com o</w:t>
      </w:r>
      <w:r>
        <w:rPr>
          <w:rFonts w:ascii="Times New Roman" w:hAnsi="Times New Roman"/>
          <w:sz w:val="22"/>
          <w:szCs w:val="22"/>
        </w:rPr>
        <w:t xml:space="preserve"> Apoio à Assistência Técnica Habitacional de Interesse Social (ATHIS), nos termos da Lei nº 11.888, de 24 de dezembro de 2008, observadas as regra</w:t>
      </w:r>
      <w:r>
        <w:rPr>
          <w:rFonts w:ascii="Times New Roman" w:hAnsi="Times New Roman"/>
          <w:sz w:val="22"/>
          <w:szCs w:val="22"/>
        </w:rPr>
        <w:t>s gerais a seguir indicadas:</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rsidR="00630581" w:rsidRDefault="00C74C10">
      <w:pPr>
        <w:pStyle w:val="PargrafodaLista"/>
        <w:numPr>
          <w:ilvl w:val="2"/>
          <w:numId w:val="3"/>
        </w:numPr>
        <w:spacing w:before="120" w:line="264" w:lineRule="auto"/>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w:t>
      </w:r>
      <w:r>
        <w:rPr>
          <w:rFonts w:ascii="Times New Roman" w:hAnsi="Times New Roman"/>
          <w:sz w:val="22"/>
          <w:szCs w:val="22"/>
        </w:rPr>
        <w:t>099-08/2019, de 27 de agosto de 2019, nos seguintes termos:</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w:t>
      </w:r>
      <w:r>
        <w:rPr>
          <w:rFonts w:ascii="Times New Roman" w:hAnsi="Times New Roman"/>
          <w:sz w:val="22"/>
          <w:szCs w:val="22"/>
        </w:rPr>
        <w:t>nal da Arquitetura e Urbanismo;</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articulação e fortalecimento das</w:t>
      </w:r>
      <w:r>
        <w:rPr>
          <w:rFonts w:ascii="Times New Roman" w:hAnsi="Times New Roman"/>
          <w:sz w:val="22"/>
          <w:szCs w:val="22"/>
        </w:rPr>
        <w:t xml:space="preserve"> entidades de Arquitetura e Urbanismo;</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w:t>
      </w:r>
      <w:r>
        <w:rPr>
          <w:rFonts w:ascii="Times New Roman" w:hAnsi="Times New Roman"/>
          <w:sz w:val="22"/>
          <w:szCs w:val="22"/>
        </w:rPr>
        <w:t>rquitetura e Urbanismo;</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rsidR="00630581" w:rsidRDefault="00C74C10">
      <w:pPr>
        <w:pStyle w:val="PargrafodaLista"/>
        <w:numPr>
          <w:ilvl w:val="0"/>
          <w:numId w:val="4"/>
        </w:numPr>
        <w:spacing w:before="60" w:line="264" w:lineRule="auto"/>
        <w:ind w:left="1588" w:hanging="567"/>
        <w:jc w:val="both"/>
        <w:rPr>
          <w:rFonts w:ascii="Times New Roman" w:hAnsi="Times New Roman"/>
          <w:sz w:val="22"/>
          <w:szCs w:val="22"/>
        </w:rPr>
      </w:pPr>
      <w:r>
        <w:rPr>
          <w:rFonts w:ascii="Times New Roman" w:hAnsi="Times New Roman"/>
          <w:sz w:val="22"/>
          <w:szCs w:val="22"/>
        </w:rPr>
        <w:t>Informar, educar e difundir os conheciment</w:t>
      </w:r>
      <w:r>
        <w:rPr>
          <w:rFonts w:ascii="Times New Roman" w:hAnsi="Times New Roman"/>
          <w:sz w:val="22"/>
          <w:szCs w:val="22"/>
        </w:rPr>
        <w:t>os e/ou a troca de experiências com vista à Assistência Técnica para Habitação de Interesse Social (ATHIS).</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w:t>
      </w:r>
      <w:r>
        <w:rPr>
          <w:rFonts w:ascii="Times New Roman" w:hAnsi="Times New Roman"/>
          <w:sz w:val="22"/>
          <w:szCs w:val="22"/>
        </w:rPr>
        <w:t xml:space="preserve"> do poder de polícia ou de outras atividades exclusivas de Estado.</w:t>
      </w:r>
    </w:p>
    <w:p w:rsidR="00630581" w:rsidRDefault="00C74C10">
      <w:pPr>
        <w:pStyle w:val="PargrafodaLista"/>
        <w:numPr>
          <w:ilvl w:val="2"/>
          <w:numId w:val="3"/>
        </w:numPr>
        <w:suppressAutoHyphens w:val="0"/>
        <w:spacing w:before="60" w:line="264" w:lineRule="auto"/>
        <w:ind w:left="1021" w:hanging="567"/>
        <w:jc w:val="both"/>
        <w:rPr>
          <w:rFonts w:ascii="Times New Roman" w:hAnsi="Times New Roman"/>
          <w:sz w:val="22"/>
          <w:szCs w:val="22"/>
        </w:rPr>
      </w:pPr>
      <w:r>
        <w:rPr>
          <w:rFonts w:ascii="Times New Roman" w:hAnsi="Times New Roman"/>
          <w:sz w:val="22"/>
          <w:szCs w:val="22"/>
        </w:rPr>
        <w:lastRenderedPageBreak/>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a busca de inovação tecnológica, a formulação de metodologias d</w:t>
      </w:r>
      <w:r>
        <w:rPr>
          <w:rFonts w:ascii="Times New Roman" w:hAnsi="Times New Roman"/>
          <w:sz w:val="22"/>
          <w:szCs w:val="22"/>
        </w:rPr>
        <w:t xml:space="preserve">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Os projetos deverão contemplar ao menos 02 das seguintes ações:</w:t>
      </w:r>
    </w:p>
    <w:p w:rsidR="00630581" w:rsidRDefault="00C74C10">
      <w:pPr>
        <w:pStyle w:val="PargrafodaLista"/>
        <w:numPr>
          <w:ilvl w:val="0"/>
          <w:numId w:val="5"/>
        </w:numPr>
        <w:spacing w:before="40" w:line="264" w:lineRule="auto"/>
        <w:ind w:left="1588" w:hanging="567"/>
        <w:jc w:val="both"/>
        <w:rPr>
          <w:rFonts w:ascii="Times New Roman" w:hAnsi="Times New Roman"/>
          <w:sz w:val="22"/>
          <w:szCs w:val="22"/>
        </w:rPr>
      </w:pPr>
      <w:r>
        <w:rPr>
          <w:rFonts w:ascii="Times New Roman" w:hAnsi="Times New Roman"/>
          <w:sz w:val="22"/>
          <w:szCs w:val="22"/>
        </w:rPr>
        <w:t>Desenvolvimento de ações de formação (capacitação) de profissionais de Arquite</w:t>
      </w:r>
      <w:r>
        <w:rPr>
          <w:rFonts w:ascii="Times New Roman" w:hAnsi="Times New Roman"/>
          <w:sz w:val="22"/>
          <w:szCs w:val="22"/>
        </w:rPr>
        <w:t>tura e Urbanismo e da comunidade usuária em Assistência Técnica para Habitação de Interesse Social;</w:t>
      </w:r>
    </w:p>
    <w:p w:rsidR="00630581" w:rsidRDefault="00C74C10">
      <w:pPr>
        <w:pStyle w:val="PargrafodaLista"/>
        <w:numPr>
          <w:ilvl w:val="0"/>
          <w:numId w:val="5"/>
        </w:numPr>
        <w:spacing w:before="40" w:line="264" w:lineRule="auto"/>
        <w:ind w:left="1588" w:hanging="567"/>
        <w:jc w:val="both"/>
        <w:rPr>
          <w:rFonts w:ascii="Times New Roman" w:hAnsi="Times New Roman"/>
          <w:sz w:val="22"/>
          <w:szCs w:val="22"/>
        </w:rPr>
      </w:pPr>
      <w:r>
        <w:rPr>
          <w:rFonts w:ascii="Times New Roman" w:hAnsi="Times New Roman"/>
          <w:sz w:val="22"/>
          <w:szCs w:val="22"/>
        </w:rPr>
        <w:t>Desenvolvimento de ações de sensibilização do Poder Público quanto à Assistência Técnica para Habitação de Interesse Social;</w:t>
      </w:r>
    </w:p>
    <w:p w:rsidR="00630581" w:rsidRDefault="00C74C10">
      <w:pPr>
        <w:pStyle w:val="PargrafodaLista"/>
        <w:numPr>
          <w:ilvl w:val="0"/>
          <w:numId w:val="5"/>
        </w:numPr>
        <w:spacing w:before="40" w:line="264" w:lineRule="auto"/>
        <w:ind w:left="1588" w:hanging="567"/>
        <w:jc w:val="both"/>
        <w:rPr>
          <w:rFonts w:ascii="Times New Roman" w:hAnsi="Times New Roman"/>
          <w:sz w:val="22"/>
          <w:szCs w:val="22"/>
        </w:rPr>
      </w:pPr>
      <w:r>
        <w:rPr>
          <w:rFonts w:ascii="Times New Roman" w:hAnsi="Times New Roman"/>
          <w:sz w:val="22"/>
          <w:szCs w:val="22"/>
        </w:rPr>
        <w:t xml:space="preserve">Promoção da difusão do </w:t>
      </w:r>
      <w:r>
        <w:rPr>
          <w:rFonts w:ascii="Times New Roman" w:hAnsi="Times New Roman"/>
          <w:sz w:val="22"/>
          <w:szCs w:val="22"/>
        </w:rPr>
        <w:t>conhecimento voltado à Assistência Técnica para Habitação de Interesse Social.</w:t>
      </w:r>
    </w:p>
    <w:p w:rsidR="00630581" w:rsidRDefault="00C74C10">
      <w:pPr>
        <w:pStyle w:val="PargrafodaLista"/>
        <w:numPr>
          <w:ilvl w:val="0"/>
          <w:numId w:val="5"/>
        </w:numPr>
        <w:spacing w:before="40" w:line="264" w:lineRule="auto"/>
        <w:ind w:left="1588" w:hanging="567"/>
        <w:jc w:val="both"/>
        <w:rPr>
          <w:rFonts w:ascii="Times New Roman" w:hAnsi="Times New Roman"/>
          <w:sz w:val="22"/>
          <w:szCs w:val="22"/>
        </w:rPr>
      </w:pPr>
      <w:r>
        <w:rPr>
          <w:rFonts w:ascii="Times New Roman" w:hAnsi="Times New Roman"/>
          <w:sz w:val="22"/>
          <w:szCs w:val="22"/>
        </w:rPr>
        <w:t>Desenvolvimento de outras ações voltadas à Assistência Técnica para Habitação de Interesse Social.</w:t>
      </w:r>
    </w:p>
    <w:p w:rsidR="00630581" w:rsidRDefault="00C74C10">
      <w:pPr>
        <w:pStyle w:val="PargrafodaLista"/>
        <w:numPr>
          <w:ilvl w:val="3"/>
          <w:numId w:val="3"/>
        </w:numPr>
        <w:spacing w:before="40" w:line="264" w:lineRule="auto"/>
        <w:ind w:left="1474" w:hanging="567"/>
        <w:jc w:val="both"/>
        <w:rPr>
          <w:rFonts w:ascii="Times New Roman" w:hAnsi="Times New Roman"/>
          <w:sz w:val="22"/>
          <w:szCs w:val="22"/>
        </w:rPr>
      </w:pPr>
      <w:r>
        <w:rPr>
          <w:rFonts w:ascii="Times New Roman" w:hAnsi="Times New Roman"/>
          <w:sz w:val="22"/>
          <w:szCs w:val="22"/>
        </w:rPr>
        <w:t>Para fins do disposto na alínea “a”, entende-se por comunidade usuária as famí</w:t>
      </w:r>
      <w:r>
        <w:rPr>
          <w:rFonts w:ascii="Times New Roman" w:hAnsi="Times New Roman"/>
          <w:sz w:val="22"/>
          <w:szCs w:val="22"/>
        </w:rPr>
        <w:t>lias de baixa renda residentes em áreas urbanas ou rurais, com renda mensal de até 3 (três) salários mínimos (artigo 2º, da Lei n.º 11.888/2008).</w:t>
      </w:r>
    </w:p>
    <w:p w:rsidR="00630581" w:rsidRDefault="00C74C10">
      <w:pPr>
        <w:pStyle w:val="PargrafodaLista"/>
        <w:numPr>
          <w:ilvl w:val="3"/>
          <w:numId w:val="3"/>
        </w:numPr>
        <w:spacing w:before="40" w:line="264" w:lineRule="auto"/>
        <w:ind w:left="1474" w:hanging="567"/>
        <w:jc w:val="both"/>
        <w:rPr>
          <w:rFonts w:ascii="Times New Roman" w:hAnsi="Times New Roman"/>
          <w:sz w:val="22"/>
          <w:szCs w:val="22"/>
        </w:rPr>
      </w:pPr>
      <w:r>
        <w:rPr>
          <w:rFonts w:ascii="Times New Roman" w:hAnsi="Times New Roman"/>
          <w:sz w:val="22"/>
          <w:szCs w:val="22"/>
        </w:rPr>
        <w:t xml:space="preserve">Para fins de seleção da comunidade usuária deverão ser consultados os sistemas de atendimento implantados por </w:t>
      </w:r>
      <w:r>
        <w:rPr>
          <w:rFonts w:ascii="Times New Roman" w:hAnsi="Times New Roman"/>
          <w:sz w:val="22"/>
          <w:szCs w:val="22"/>
        </w:rPr>
        <w:t>órgãos colegiados municipais, nos termos do § 4º, do artigo 3º, da Lei n.º 11.888/2008.</w:t>
      </w:r>
    </w:p>
    <w:p w:rsidR="00630581" w:rsidRDefault="00C74C10">
      <w:pPr>
        <w:pStyle w:val="PargrafodaLista"/>
        <w:numPr>
          <w:ilvl w:val="3"/>
          <w:numId w:val="3"/>
        </w:numPr>
        <w:spacing w:before="40" w:line="264" w:lineRule="auto"/>
        <w:ind w:left="1474" w:hanging="567"/>
        <w:jc w:val="both"/>
        <w:rPr>
          <w:rFonts w:ascii="Times New Roman" w:hAnsi="Times New Roman"/>
          <w:sz w:val="22"/>
          <w:szCs w:val="22"/>
        </w:rPr>
      </w:pPr>
      <w:r>
        <w:rPr>
          <w:rFonts w:ascii="Times New Roman" w:hAnsi="Times New Roman"/>
          <w:sz w:val="22"/>
          <w:szCs w:val="22"/>
        </w:rPr>
        <w:t xml:space="preserve">O desenvolvimento de outras ações voltadas à Assistência Técnica para Habitação de Interesse Social, prevista na alínea “d”, do item 1.1.5, se refere a um estudo de </w:t>
      </w:r>
      <w:r>
        <w:rPr>
          <w:rFonts w:ascii="Times New Roman" w:hAnsi="Times New Roman"/>
          <w:sz w:val="22"/>
          <w:szCs w:val="22"/>
        </w:rPr>
        <w:t>caso que deverá ser realizado com base em um caso concreto à escolha do proponente, em uma das políticas urbanas abaixo especificadas, tendo como escopo a apresentação de estudos, planos ou projetos, e contendo métodos ou ações possíveis para efetivação da</w:t>
      </w:r>
      <w:r>
        <w:rPr>
          <w:rFonts w:ascii="Times New Roman" w:hAnsi="Times New Roman"/>
          <w:sz w:val="22"/>
          <w:szCs w:val="22"/>
        </w:rPr>
        <w:t xml:space="preserve"> execução da assistência técnica.</w:t>
      </w:r>
    </w:p>
    <w:p w:rsidR="00630581" w:rsidRDefault="00C74C10">
      <w:pPr>
        <w:pStyle w:val="PargrafodaLista"/>
        <w:numPr>
          <w:ilvl w:val="4"/>
          <w:numId w:val="3"/>
        </w:numPr>
        <w:spacing w:before="40" w:line="264" w:lineRule="auto"/>
        <w:jc w:val="both"/>
        <w:rPr>
          <w:rFonts w:ascii="Times New Roman" w:hAnsi="Times New Roman"/>
          <w:sz w:val="22"/>
          <w:szCs w:val="22"/>
        </w:rPr>
      </w:pPr>
      <w:r>
        <w:rPr>
          <w:rFonts w:ascii="Times New Roman" w:hAnsi="Times New Roman"/>
          <w:b/>
          <w:sz w:val="22"/>
          <w:szCs w:val="22"/>
        </w:rPr>
        <w:t xml:space="preserve">Produção habitacional autogestionária: </w:t>
      </w:r>
      <w:r>
        <w:rPr>
          <w:rFonts w:ascii="Times New Roman" w:hAnsi="Times New Roman"/>
          <w:sz w:val="22"/>
          <w:szCs w:val="22"/>
        </w:rPr>
        <w:t>Ações de assistência técnica em habitação de interesse social junto a movimentos por moradia organizados, associações ou grupos de moradores ainda não institucionalizados (que ainda n</w:t>
      </w:r>
      <w:r>
        <w:rPr>
          <w:rFonts w:ascii="Times New Roman" w:hAnsi="Times New Roman"/>
          <w:sz w:val="22"/>
          <w:szCs w:val="22"/>
        </w:rPr>
        <w:t>ão estejam aptos para participar de programas públicos de financiamento à produção habitacional).</w:t>
      </w:r>
    </w:p>
    <w:p w:rsidR="00630581" w:rsidRDefault="00C74C10">
      <w:pPr>
        <w:pStyle w:val="PargrafodaLista"/>
        <w:numPr>
          <w:ilvl w:val="4"/>
          <w:numId w:val="3"/>
        </w:numPr>
        <w:spacing w:before="40" w:line="264" w:lineRule="auto"/>
        <w:jc w:val="both"/>
        <w:rPr>
          <w:rFonts w:ascii="Times New Roman" w:hAnsi="Times New Roman"/>
          <w:sz w:val="22"/>
          <w:szCs w:val="22"/>
        </w:rPr>
      </w:pPr>
      <w:r>
        <w:rPr>
          <w:rFonts w:ascii="Times New Roman" w:hAnsi="Times New Roman"/>
          <w:b/>
          <w:sz w:val="22"/>
          <w:szCs w:val="22"/>
        </w:rPr>
        <w:t xml:space="preserve">Melhorias habitacionais em assentamentos humanos, urbanos ou rurais: </w:t>
      </w:r>
      <w:r>
        <w:rPr>
          <w:rFonts w:ascii="Times New Roman" w:hAnsi="Times New Roman"/>
          <w:sz w:val="22"/>
          <w:szCs w:val="22"/>
        </w:rPr>
        <w:t>Ações de assistência técnica em habitação de interesse social em processos de urbanização</w:t>
      </w:r>
      <w:r>
        <w:rPr>
          <w:rFonts w:ascii="Times New Roman" w:hAnsi="Times New Roman"/>
          <w:sz w:val="22"/>
          <w:szCs w:val="22"/>
        </w:rPr>
        <w:t xml:space="preserve"> ou regularização fundiária de assentamentos humanos, urbanos ou rurais, onde sejam identificadas precariedades habitacionais ou de infraestrutura. As ações devem se voltar a setores e moradias “consolidados” ou “consolidáveis” (ou seja, setores e moradias</w:t>
      </w:r>
      <w:r>
        <w:rPr>
          <w:rFonts w:ascii="Times New Roman" w:hAnsi="Times New Roman"/>
          <w:sz w:val="22"/>
          <w:szCs w:val="22"/>
        </w:rPr>
        <w:t xml:space="preserve"> que não sofrerão remoções em intervenções futuras para eliminação de riscos, adequação ambiental ou implantação de infraestrutura) e visam a qualificar a autoconstrução ou o auto empreendimento habitacional, enfrentar patologias construtivas e precariedad</w:t>
      </w:r>
      <w:r>
        <w:rPr>
          <w:rFonts w:ascii="Times New Roman" w:hAnsi="Times New Roman"/>
          <w:sz w:val="22"/>
          <w:szCs w:val="22"/>
        </w:rPr>
        <w:t>es. Esse campo de atuação deve ser tratado e apresentado como um problema coletivo (ainda que sejam soluções individuais) e aderente ao território, como um serviço com a perspectiva de universalização.</w:t>
      </w:r>
    </w:p>
    <w:p w:rsidR="00630581" w:rsidRDefault="00C74C10">
      <w:pPr>
        <w:pStyle w:val="PargrafodaLista"/>
        <w:numPr>
          <w:ilvl w:val="4"/>
          <w:numId w:val="3"/>
        </w:numPr>
        <w:spacing w:before="40" w:line="264" w:lineRule="auto"/>
        <w:jc w:val="both"/>
        <w:rPr>
          <w:rFonts w:ascii="Times New Roman" w:hAnsi="Times New Roman"/>
          <w:sz w:val="22"/>
          <w:szCs w:val="22"/>
        </w:rPr>
      </w:pPr>
      <w:r>
        <w:rPr>
          <w:rFonts w:ascii="Times New Roman" w:hAnsi="Times New Roman"/>
          <w:b/>
          <w:sz w:val="22"/>
          <w:szCs w:val="22"/>
        </w:rPr>
        <w:t>Defesa de direitos à moradia digna e à cidade</w:t>
      </w:r>
      <w:r>
        <w:rPr>
          <w:rFonts w:ascii="Times New Roman" w:hAnsi="Times New Roman"/>
          <w:sz w:val="22"/>
          <w:szCs w:val="22"/>
        </w:rPr>
        <w:t>: Ações d</w:t>
      </w:r>
      <w:r>
        <w:rPr>
          <w:rFonts w:ascii="Times New Roman" w:hAnsi="Times New Roman"/>
          <w:sz w:val="22"/>
          <w:szCs w:val="22"/>
        </w:rPr>
        <w:t xml:space="preserve">e assistência técnica em habitação de interesse social junto a movimentos por moradia organizados, associações ou grupos de moradores de assentamentos precários, ocupações de terrenos ou edifícios, visando a dar apoio à organização espacial (planos de </w:t>
      </w:r>
      <w:r>
        <w:rPr>
          <w:rFonts w:ascii="Times New Roman" w:hAnsi="Times New Roman"/>
          <w:sz w:val="22"/>
          <w:szCs w:val="22"/>
        </w:rPr>
        <w:lastRenderedPageBreak/>
        <w:t>ocup</w:t>
      </w:r>
      <w:r>
        <w:rPr>
          <w:rFonts w:ascii="Times New Roman" w:hAnsi="Times New Roman"/>
          <w:sz w:val="22"/>
          <w:szCs w:val="22"/>
        </w:rPr>
        <w:t>ação de terrenos ou edifícios) ou produzir propostas e contra-laudos que apresentem hipóteses de urbanização sustentável e alternativas à “remoção forçada” (ou seja, que violam direitos dos moradores segundo diversos acordos de agências multilaterais que e</w:t>
      </w:r>
      <w:r>
        <w:rPr>
          <w:rFonts w:ascii="Times New Roman" w:hAnsi="Times New Roman"/>
          <w:sz w:val="22"/>
          <w:szCs w:val="22"/>
        </w:rPr>
        <w:t>stabelecem procedimentos para projetos de desenvolvimento). Visam também ao acompanhamento técnico do grupo em reuniões com órgãos da administração pública, concessionárias de serviço, proprietários de terra, entre outros interlocutores.</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Na execução do obj</w:t>
      </w:r>
      <w:r>
        <w:rPr>
          <w:rFonts w:ascii="Times New Roman" w:hAnsi="Times New Roman"/>
          <w:sz w:val="22"/>
          <w:szCs w:val="22"/>
        </w:rPr>
        <w:t>eto deverá ser assegurado o devido Registro de Responsabilidade Técnica, quando cabível.</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w:t>
      </w:r>
      <w:r>
        <w:rPr>
          <w:rFonts w:ascii="Times New Roman" w:hAnsi="Times New Roman"/>
          <w:sz w:val="22"/>
          <w:szCs w:val="22"/>
        </w:rPr>
        <w:t>os, visando futura multiplicação (indução) do projeto apresentado.</w:t>
      </w:r>
    </w:p>
    <w:p w:rsidR="00630581" w:rsidRDefault="00C74C10">
      <w:pPr>
        <w:pStyle w:val="PargrafodaLista"/>
        <w:numPr>
          <w:ilvl w:val="2"/>
          <w:numId w:val="3"/>
        </w:numPr>
        <w:suppressAutoHyphens w:val="0"/>
        <w:spacing w:before="120" w:line="264" w:lineRule="auto"/>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rsidR="00630581" w:rsidRDefault="00630581">
      <w:pPr>
        <w:pStyle w:val="PargrafodaLista"/>
        <w:spacing w:before="120"/>
        <w:ind w:left="0"/>
        <w:jc w:val="both"/>
        <w:rPr>
          <w:rFonts w:ascii="Times New Roman" w:hAnsi="Times New Roman"/>
          <w:sz w:val="22"/>
          <w:szCs w:val="22"/>
        </w:rPr>
      </w:pPr>
    </w:p>
    <w:p w:rsidR="00630581" w:rsidRDefault="00C74C10">
      <w:pPr>
        <w:pStyle w:val="PargrafodaLista"/>
        <w:numPr>
          <w:ilvl w:val="0"/>
          <w:numId w:val="3"/>
        </w:numPr>
        <w:spacing w:before="120"/>
        <w:ind w:left="0" w:firstLine="0"/>
        <w:jc w:val="both"/>
        <w:rPr>
          <w:rFonts w:ascii="Times New Roman" w:hAnsi="Times New Roman"/>
          <w:b/>
          <w:sz w:val="22"/>
          <w:szCs w:val="22"/>
        </w:rPr>
      </w:pPr>
      <w:r>
        <w:rPr>
          <w:rFonts w:ascii="Times New Roman" w:hAnsi="Times New Roman"/>
          <w:b/>
          <w:sz w:val="22"/>
          <w:szCs w:val="22"/>
        </w:rPr>
        <w:t>DAS DEFINIÇÕES</w:t>
      </w:r>
    </w:p>
    <w:p w:rsidR="00630581" w:rsidRDefault="00630581">
      <w:pPr>
        <w:jc w:val="both"/>
        <w:rPr>
          <w:vanish/>
          <w:sz w:val="22"/>
          <w:szCs w:val="22"/>
        </w:rPr>
      </w:pPr>
    </w:p>
    <w:p w:rsidR="00630581" w:rsidRDefault="00C74C10">
      <w:pPr>
        <w:pStyle w:val="PargrafodaLista"/>
        <w:numPr>
          <w:ilvl w:val="1"/>
          <w:numId w:val="2"/>
        </w:numPr>
        <w:spacing w:before="120" w:line="264" w:lineRule="auto"/>
        <w:ind w:left="567" w:hanging="567"/>
        <w:jc w:val="both"/>
        <w:rPr>
          <w:rFonts w:ascii="Times New Roman" w:hAnsi="Times New Roman"/>
          <w:sz w:val="22"/>
          <w:szCs w:val="22"/>
        </w:rPr>
      </w:pPr>
      <w:r>
        <w:rPr>
          <w:rFonts w:ascii="Times New Roman" w:hAnsi="Times New Roman"/>
          <w:sz w:val="22"/>
          <w:szCs w:val="22"/>
        </w:rPr>
        <w:t>Para fins deste edital, entende-se por:</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Chama</w:t>
      </w:r>
      <w:r>
        <w:rPr>
          <w:rFonts w:ascii="Times New Roman" w:hAnsi="Times New Roman"/>
          <w:sz w:val="22"/>
          <w:szCs w:val="22"/>
        </w:rPr>
        <w:t>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w:t>
      </w:r>
      <w:r>
        <w:rPr>
          <w:rFonts w:ascii="Times New Roman" w:hAnsi="Times New Roman"/>
          <w:sz w:val="22"/>
          <w:szCs w:val="22"/>
        </w:rPr>
        <w:t>dade, da probidade administrativa, da vinculação ao instrumento convocatório, do julgamento objetivo e dos que lhes são correlatos;</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Organização da sociedade civil:</w:t>
      </w:r>
    </w:p>
    <w:p w:rsidR="00630581" w:rsidRDefault="00C74C10">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w:t>
      </w:r>
      <w:r>
        <w:rPr>
          <w:rFonts w:ascii="Times New Roman" w:hAnsi="Times New Roman"/>
          <w:sz w:val="22"/>
          <w:szCs w:val="22"/>
        </w:rPr>
        <w:t>er natureza, participações ou parcelas do seu patrimônio, auferidos mediante o exercício de suas atividades, e que os aplique integralmente na consecução do respectivo objeto social, de forma imediata ou por meio da constituição de fundo patrimonial ou fun</w:t>
      </w:r>
      <w:r>
        <w:rPr>
          <w:rFonts w:ascii="Times New Roman" w:hAnsi="Times New Roman"/>
          <w:sz w:val="22"/>
          <w:szCs w:val="22"/>
        </w:rPr>
        <w:t>do de reserva;</w:t>
      </w:r>
    </w:p>
    <w:p w:rsidR="00630581" w:rsidRDefault="00C74C10">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w:t>
      </w:r>
      <w:r>
        <w:rPr>
          <w:rFonts w:ascii="Times New Roman" w:hAnsi="Times New Roman"/>
          <w:sz w:val="22"/>
          <w:szCs w:val="22"/>
        </w:rPr>
        <w:t xml:space="preserve"> trabalho e renda; as voltadas para fomento, educação e capacitação de trabalhadores rurais ou capacitação de agentes de assistência técnica e extensão rural; e as capacitadas para execução de atividades ou de projetos de interesse público e de cunho socia</w:t>
      </w:r>
      <w:r>
        <w:rPr>
          <w:rFonts w:ascii="Times New Roman" w:hAnsi="Times New Roman"/>
          <w:sz w:val="22"/>
          <w:szCs w:val="22"/>
        </w:rPr>
        <w:t>l;</w:t>
      </w:r>
    </w:p>
    <w:p w:rsidR="00630581" w:rsidRDefault="00C74C10">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w:t>
      </w:r>
      <w:r>
        <w:rPr>
          <w:rFonts w:ascii="Times New Roman" w:hAnsi="Times New Roman"/>
          <w:color w:val="000000"/>
          <w:sz w:val="22"/>
          <w:szCs w:val="22"/>
        </w:rPr>
        <w:t xml:space="preserve">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w:t>
      </w:r>
      <w:r>
        <w:rPr>
          <w:rFonts w:ascii="Times New Roman" w:hAnsi="Times New Roman"/>
          <w:sz w:val="22"/>
          <w:szCs w:val="22"/>
        </w:rPr>
        <w:t xml:space="preserve"> decorrentes de relação jurí</w:t>
      </w:r>
      <w:r>
        <w:rPr>
          <w:rFonts w:ascii="Times New Roman" w:hAnsi="Times New Roman"/>
          <w:sz w:val="22"/>
          <w:szCs w:val="22"/>
        </w:rPr>
        <w:lastRenderedPageBreak/>
        <w:t>dica estabelecida formalmente entre o CAU/PR e organizações da sociedade civil, em regime de mútua cooperação, para a consecução de finalidades de interesse público e recíproco, mediante a execução de atividade ou de projeto exp</w:t>
      </w:r>
      <w:r>
        <w:rPr>
          <w:rFonts w:ascii="Times New Roman" w:hAnsi="Times New Roman"/>
          <w:sz w:val="22"/>
          <w:szCs w:val="22"/>
        </w:rPr>
        <w:t>ressos em termos de fomento;</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Pr</w:t>
      </w:r>
      <w:r>
        <w:rPr>
          <w:rFonts w:ascii="Times New Roman" w:hAnsi="Times New Roman"/>
          <w:sz w:val="22"/>
          <w:szCs w:val="22"/>
        </w:rPr>
        <w:t>ojeto: conjunto de operações, limitadas no tempo, das quais resulta um produto destinado à satisfação de interesses compartilhados pelo CAU/PR e pela organização da sociedade civil;</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w:t>
      </w:r>
      <w:r>
        <w:rPr>
          <w:rFonts w:ascii="Times New Roman" w:hAnsi="Times New Roman"/>
          <w:sz w:val="22"/>
          <w:szCs w:val="22"/>
        </w:rPr>
        <w:t>as estabelecidas pelo CAU/PR com a organização da sociedade civil para a consecução de finalidades de interesse público e recíproco propostas pela organização da sociedade civil que envolvam a transferência de recursos financeiros;</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Dirigente: pessoa que de</w:t>
      </w:r>
      <w:r>
        <w:rPr>
          <w:rFonts w:ascii="Times New Roman" w:hAnsi="Times New Roman"/>
          <w:sz w:val="22"/>
          <w:szCs w:val="22"/>
        </w:rPr>
        <w:t>tenha poderes de administração, gestão ou controle da organização da sociedade civil, habilitada a assinar termo de fomento ou termo de colaboração com o CAU/PR, para a consecução de finalidade de interesse público e recíproco, ainda que delegue essa compe</w:t>
      </w:r>
      <w:r>
        <w:rPr>
          <w:rFonts w:ascii="Times New Roman" w:hAnsi="Times New Roman"/>
          <w:sz w:val="22"/>
          <w:szCs w:val="22"/>
        </w:rPr>
        <w:t>tência a terceiros;</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w:t>
      </w:r>
      <w:r>
        <w:rPr>
          <w:rFonts w:ascii="Times New Roman" w:hAnsi="Times New Roman"/>
          <w:sz w:val="22"/>
          <w:szCs w:val="22"/>
        </w:rPr>
        <w:t xml:space="preserve">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 xml:space="preserve">Comissão </w:t>
      </w:r>
      <w:r>
        <w:rPr>
          <w:rFonts w:ascii="Times New Roman" w:hAnsi="Times New Roman"/>
          <w:sz w:val="22"/>
          <w:szCs w:val="22"/>
        </w:rPr>
        <w:t xml:space="preserve">de monitoramento e avaliação: órgão colegiado destinado a monitorar e avaliar as parcerias celebradas com organizações da sociedade civil mediante termo de fomento, constituído por ato publicado em meio oficial de comunicação, assegurada a participação de </w:t>
      </w:r>
      <w:r>
        <w:rPr>
          <w:rFonts w:ascii="Times New Roman" w:hAnsi="Times New Roman"/>
          <w:sz w:val="22"/>
          <w:szCs w:val="22"/>
        </w:rPr>
        <w:t>pelo menos um servidor ocupante de cargo efetivo ou emprego permanente do quadro de pessoal do CAU/PR;</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r>
        <w:rPr>
          <w:rFonts w:ascii="Times New Roman" w:hAnsi="Times New Roman"/>
          <w:sz w:val="22"/>
          <w:szCs w:val="22"/>
        </w:rPr>
        <w:t>;</w:t>
      </w:r>
    </w:p>
    <w:p w:rsidR="00630581" w:rsidRDefault="00C74C10">
      <w:pPr>
        <w:pStyle w:val="PargrafodaLista"/>
        <w:numPr>
          <w:ilvl w:val="2"/>
          <w:numId w:val="3"/>
        </w:numPr>
        <w:suppressAutoHyphens w:val="0"/>
        <w:spacing w:before="120" w:line="264" w:lineRule="auto"/>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rsidR="00630581" w:rsidRDefault="00C74C10">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a) </w:t>
      </w:r>
      <w:r>
        <w:rPr>
          <w:rFonts w:ascii="Times New Roman" w:hAnsi="Times New Roman"/>
          <w:sz w:val="22"/>
          <w:szCs w:val="22"/>
        </w:rPr>
        <w:t xml:space="preserve">apresentação das </w:t>
      </w:r>
      <w:r>
        <w:rPr>
          <w:rFonts w:ascii="Times New Roman" w:hAnsi="Times New Roman"/>
          <w:sz w:val="22"/>
          <w:szCs w:val="22"/>
        </w:rPr>
        <w:t>contas, de responsabilidade da organização da sociedade civil;</w:t>
      </w:r>
    </w:p>
    <w:p w:rsidR="00630581" w:rsidRDefault="00C74C10">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rsidR="00630581" w:rsidRDefault="00630581">
      <w:pPr>
        <w:pStyle w:val="PargrafodaLista"/>
        <w:suppressAutoHyphens w:val="0"/>
        <w:spacing w:before="120" w:after="120" w:line="264" w:lineRule="auto"/>
        <w:ind w:left="1701"/>
        <w:jc w:val="both"/>
        <w:rPr>
          <w:rFonts w:ascii="Times New Roman" w:hAnsi="Times New Roman"/>
          <w:sz w:val="22"/>
          <w:szCs w:val="22"/>
          <w:highlight w:val="yellow"/>
        </w:rPr>
      </w:pPr>
    </w:p>
    <w:p w:rsidR="00630581" w:rsidRDefault="00C74C10">
      <w:pPr>
        <w:pStyle w:val="PargrafodaLista"/>
        <w:numPr>
          <w:ilvl w:val="0"/>
          <w:numId w:val="3"/>
        </w:numPr>
        <w:ind w:left="0" w:firstLine="0"/>
        <w:jc w:val="both"/>
        <w:rPr>
          <w:rFonts w:ascii="Times New Roman" w:hAnsi="Times New Roman"/>
          <w:b/>
          <w:sz w:val="22"/>
          <w:szCs w:val="22"/>
        </w:rPr>
      </w:pPr>
      <w:r>
        <w:rPr>
          <w:rFonts w:ascii="Times New Roman" w:hAnsi="Times New Roman"/>
          <w:b/>
          <w:sz w:val="22"/>
          <w:szCs w:val="22"/>
        </w:rPr>
        <w:t>DA DESPESA E DOS RECURSOS ORÇAMENTÁRIOS</w:t>
      </w:r>
    </w:p>
    <w:p w:rsidR="00630581" w:rsidRDefault="00630581">
      <w:pPr>
        <w:pStyle w:val="PargrafodaLista"/>
        <w:ind w:left="0"/>
        <w:jc w:val="both"/>
        <w:rPr>
          <w:rFonts w:ascii="Times New Roman" w:hAnsi="Times New Roman"/>
          <w:b/>
          <w:sz w:val="22"/>
          <w:szCs w:val="22"/>
        </w:rPr>
      </w:pPr>
    </w:p>
    <w:p w:rsidR="00630581" w:rsidRDefault="00C74C10">
      <w:pPr>
        <w:pStyle w:val="PargrafodaLista"/>
        <w:numPr>
          <w:ilvl w:val="1"/>
          <w:numId w:val="3"/>
        </w:numPr>
        <w:ind w:left="567" w:hanging="567"/>
        <w:jc w:val="both"/>
        <w:rPr>
          <w:rFonts w:ascii="Times New Roman" w:hAnsi="Times New Roman"/>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2021, são do montante </w:t>
      </w:r>
      <w:r>
        <w:rPr>
          <w:rFonts w:ascii="Times New Roman" w:hAnsi="Times New Roman"/>
          <w:color w:val="000000"/>
          <w:sz w:val="22"/>
          <w:szCs w:val="22"/>
        </w:rPr>
        <w:t>de R$ 120.000,00 (cento e vinte mil reais).</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lastRenderedPageBreak/>
        <w:t>A Dotação Orçamentária para a despesa prevista, relat</w:t>
      </w:r>
      <w:r>
        <w:rPr>
          <w:rFonts w:ascii="Times New Roman" w:hAnsi="Times New Roman"/>
          <w:sz w:val="22"/>
          <w:szCs w:val="22"/>
        </w:rPr>
        <w:t>iva ao exercício de 2021, advirá do Centro de Custo 4.02.05.2.03 - PROJETOS GERÊNCIA DE FISCALIZAÇÃO – ATHIS, Conta Orçamentária 6.2.2.1.1.01.07.02.002 – Convênios, Acordos e Ajuda a Entidades.</w:t>
      </w:r>
    </w:p>
    <w:p w:rsidR="00630581" w:rsidRDefault="00630581">
      <w:pPr>
        <w:pStyle w:val="PargrafodaLista"/>
        <w:suppressAutoHyphens w:val="0"/>
        <w:spacing w:before="120" w:after="120"/>
        <w:ind w:left="1134" w:right="108"/>
        <w:jc w:val="both"/>
        <w:rPr>
          <w:rFonts w:ascii="Times New Roman" w:hAnsi="Times New Roman"/>
          <w:sz w:val="22"/>
          <w:szCs w:val="22"/>
        </w:rPr>
      </w:pPr>
    </w:p>
    <w:p w:rsidR="00630581" w:rsidRDefault="00C74C10">
      <w:pPr>
        <w:pStyle w:val="PargrafodaLista"/>
        <w:numPr>
          <w:ilvl w:val="0"/>
          <w:numId w:val="3"/>
        </w:numPr>
        <w:ind w:left="0" w:firstLine="0"/>
        <w:jc w:val="both"/>
        <w:rPr>
          <w:rFonts w:ascii="Times New Roman" w:hAnsi="Times New Roman"/>
          <w:b/>
          <w:sz w:val="22"/>
          <w:szCs w:val="22"/>
        </w:rPr>
      </w:pPr>
      <w:r>
        <w:rPr>
          <w:rFonts w:ascii="Times New Roman" w:hAnsi="Times New Roman"/>
          <w:b/>
          <w:sz w:val="22"/>
          <w:szCs w:val="22"/>
        </w:rPr>
        <w:t>DAS CONDIÇÕES DE PARTICIPAÇÃO</w:t>
      </w:r>
    </w:p>
    <w:p w:rsidR="00630581" w:rsidRDefault="00630581">
      <w:pPr>
        <w:pStyle w:val="PargrafodaLista"/>
        <w:ind w:left="0"/>
        <w:jc w:val="both"/>
        <w:rPr>
          <w:rFonts w:ascii="Times New Roman" w:hAnsi="Times New Roman"/>
          <w:vanish/>
          <w:sz w:val="22"/>
          <w:szCs w:val="22"/>
        </w:rPr>
      </w:pPr>
    </w:p>
    <w:p w:rsidR="00630581" w:rsidRDefault="00C74C10">
      <w:pPr>
        <w:pStyle w:val="PargrafodaLista"/>
        <w:numPr>
          <w:ilvl w:val="1"/>
          <w:numId w:val="3"/>
        </w:numPr>
        <w:spacing w:before="120" w:line="264" w:lineRule="auto"/>
        <w:ind w:left="567" w:hanging="567"/>
        <w:jc w:val="both"/>
        <w:rPr>
          <w:rFonts w:ascii="Times New Roman" w:hAnsi="Times New Roman"/>
          <w:b/>
          <w:sz w:val="22"/>
          <w:szCs w:val="22"/>
        </w:rPr>
      </w:pPr>
      <w:r>
        <w:rPr>
          <w:rFonts w:ascii="Times New Roman" w:hAnsi="Times New Roman"/>
          <w:sz w:val="22"/>
          <w:szCs w:val="22"/>
        </w:rPr>
        <w:t>Podem participar do Chamamento</w:t>
      </w:r>
      <w:r>
        <w:rPr>
          <w:rFonts w:ascii="Times New Roman" w:hAnsi="Times New Roman"/>
          <w:sz w:val="22"/>
          <w:szCs w:val="22"/>
        </w:rPr>
        <w:t xml:space="preserve"> Público quaisquer entidades privadas, sem fins lucrativos, que preencham, além do disposto na Lei nº 13.019/14, os seguintes requisitos:</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distribuam,</w:t>
      </w:r>
      <w:r>
        <w:rPr>
          <w:rFonts w:ascii="Times New Roman" w:hAnsi="Times New Roman"/>
          <w:sz w:val="22"/>
          <w:szCs w:val="22"/>
        </w:rPr>
        <w:t xml:space="preserve"> entre seus sócios ou associados, conselheiros, diretores, colaboradores ou doadores, eventuais excedentes operacionais, brutos ou líquidos, dividendos, bonificações, participações ou parcelas do seu patrimônio, auferidos mediante o exercício de suas ativi</w:t>
      </w:r>
      <w:r>
        <w:rPr>
          <w:rFonts w:ascii="Times New Roman" w:hAnsi="Times New Roman"/>
          <w:sz w:val="22"/>
          <w:szCs w:val="22"/>
        </w:rPr>
        <w:t>dades, e que os apliquem integralmente na consecução do respectivo objeto social de forma imediata ou por meio da constituição de fundo patrimonial ou fundo de reserva;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estejam impedida</w:t>
      </w:r>
      <w:r>
        <w:rPr>
          <w:rFonts w:ascii="Times New Roman" w:hAnsi="Times New Roman"/>
          <w:sz w:val="22"/>
          <w:szCs w:val="22"/>
        </w:rPr>
        <w:t>s de celebrar parcerias com a Administração Pública Federal (Art. 39 da Lei nº 13.019/14);</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rsidR="00630581" w:rsidRDefault="00C74C10">
      <w:pPr>
        <w:pStyle w:val="PargrafodaLista"/>
        <w:numPr>
          <w:ilvl w:val="1"/>
          <w:numId w:val="3"/>
        </w:numPr>
        <w:spacing w:before="120" w:line="264" w:lineRule="auto"/>
        <w:ind w:left="567" w:hanging="567"/>
        <w:jc w:val="both"/>
        <w:rPr>
          <w:rFonts w:ascii="Times New Roman" w:hAnsi="Times New Roman"/>
          <w:b/>
          <w:sz w:val="22"/>
          <w:szCs w:val="22"/>
        </w:rPr>
      </w:pPr>
      <w:r>
        <w:rPr>
          <w:rFonts w:ascii="Times New Roman" w:hAnsi="Times New Roman"/>
          <w:sz w:val="22"/>
          <w:szCs w:val="22"/>
        </w:rPr>
        <w:t>Não poderá participar do Chamamento a Organização da</w:t>
      </w:r>
      <w:r>
        <w:rPr>
          <w:rFonts w:ascii="Times New Roman" w:hAnsi="Times New Roman"/>
          <w:sz w:val="22"/>
          <w:szCs w:val="22"/>
        </w:rPr>
        <w:t xml:space="preserve"> Sociedade Civil que, nos termos do artigo 39 da Lei nº 13.019/2014:</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w:t>
      </w:r>
      <w:r>
        <w:rPr>
          <w:rFonts w:ascii="Times New Roman" w:hAnsi="Times New Roman"/>
          <w:sz w:val="22"/>
          <w:szCs w:val="22"/>
        </w:rPr>
        <w:t>ada;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w:t>
      </w:r>
      <w:r>
        <w:rPr>
          <w:rFonts w:ascii="Times New Roman" w:hAnsi="Times New Roman"/>
          <w:sz w:val="22"/>
          <w:szCs w:val="22"/>
        </w:rPr>
        <w:t>s cônjuges ou companheiros, bem como parentes em linha reta, colateral ou por afinidade, até o segundo grau;</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 xml:space="preserve">A vedação prevista neste item não se aplica à celebração de parcerias com entidades que, pela sua própria natureza, sejam constituídas pelas </w:t>
      </w:r>
      <w:r>
        <w:rPr>
          <w:rFonts w:ascii="Times New Roman" w:hAnsi="Times New Roman"/>
          <w:sz w:val="22"/>
          <w:szCs w:val="22"/>
        </w:rPr>
        <w:t>autoridades referidas naquele inciso, sendo vedado que a mesma pessoa figure no termo de colaboração, no termo de fomento ou no acordo de cooperação simultaneamente como dirigente e administrador público.</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Não são considerados membros de Poder os integrante</w:t>
      </w:r>
      <w:r>
        <w:rPr>
          <w:rFonts w:ascii="Times New Roman" w:hAnsi="Times New Roman"/>
          <w:sz w:val="22"/>
          <w:szCs w:val="22"/>
        </w:rPr>
        <w:t>s de conselhos de direitos e de políticas públicas.</w:t>
      </w:r>
    </w:p>
    <w:p w:rsidR="00630581" w:rsidRDefault="00C74C10">
      <w:pPr>
        <w:pStyle w:val="PargrafodaLista"/>
        <w:numPr>
          <w:ilvl w:val="2"/>
          <w:numId w:val="3"/>
        </w:numPr>
        <w:suppressAutoHyphens w:val="0"/>
        <w:spacing w:before="121" w:line="264" w:lineRule="auto"/>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For reconsid</w:t>
      </w:r>
      <w:r>
        <w:rPr>
          <w:rFonts w:ascii="Times New Roman" w:hAnsi="Times New Roman"/>
          <w:sz w:val="22"/>
          <w:szCs w:val="22"/>
        </w:rPr>
        <w:t>erada ou revista a decisão pela rejeição;</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lastRenderedPageBreak/>
        <w:t>A apreciação das contas estiver pendente de decisão sobre recurso com efeito suspensivo.</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 xml:space="preserve">Suspensão de participação em licitação </w:t>
      </w:r>
      <w:r>
        <w:rPr>
          <w:rFonts w:ascii="Times New Roman" w:hAnsi="Times New Roman"/>
          <w:sz w:val="22"/>
          <w:szCs w:val="22"/>
        </w:rPr>
        <w:t>e impedimento de contratar com a administração;</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w:t>
      </w:r>
      <w:r>
        <w:rPr>
          <w:rFonts w:ascii="Times New Roman" w:hAnsi="Times New Roman"/>
          <w:sz w:val="22"/>
          <w:szCs w:val="22"/>
        </w:rPr>
        <w:t>es da esfera de governo da administração pública sancionadora, por prazo não superior a dois anos;</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w:t>
      </w:r>
      <w:r>
        <w:rPr>
          <w:rFonts w:ascii="Times New Roman" w:hAnsi="Times New Roman"/>
          <w:sz w:val="22"/>
          <w:szCs w:val="22"/>
        </w:rPr>
        <w:t>anto perdurarem os motivos determinantes da punição ou até que seja promovida a reabilitação perante a própria autoridade que aplicou a penalidade, que será concedida sempre que a organização da sociedade civil ressarcir a administração pública pelos preju</w:t>
      </w:r>
      <w:r>
        <w:rPr>
          <w:rFonts w:ascii="Times New Roman" w:hAnsi="Times New Roman"/>
          <w:sz w:val="22"/>
          <w:szCs w:val="22"/>
        </w:rPr>
        <w:t>ízos resultantes e após decorrido o prazo da sanção aplicada.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rsidR="00630581" w:rsidRDefault="00C74C10">
      <w:pPr>
        <w:pStyle w:val="PargrafodaLista"/>
        <w:numPr>
          <w:ilvl w:val="2"/>
          <w:numId w:val="3"/>
        </w:numPr>
        <w:suppressAutoHyphens w:val="0"/>
        <w:spacing w:before="121" w:line="264" w:lineRule="auto"/>
        <w:ind w:left="1134" w:right="106" w:hanging="567"/>
        <w:jc w:val="both"/>
        <w:rPr>
          <w:rFonts w:ascii="Times New Roman" w:hAnsi="Times New Roman"/>
          <w:sz w:val="22"/>
          <w:szCs w:val="22"/>
        </w:rPr>
      </w:pPr>
      <w:r>
        <w:rPr>
          <w:rFonts w:ascii="Times New Roman" w:hAnsi="Times New Roman"/>
          <w:sz w:val="22"/>
          <w:szCs w:val="22"/>
        </w:rPr>
        <w:t>Tenha ent</w:t>
      </w:r>
      <w:r>
        <w:rPr>
          <w:rFonts w:ascii="Times New Roman" w:hAnsi="Times New Roman"/>
          <w:sz w:val="22"/>
          <w:szCs w:val="22"/>
        </w:rPr>
        <w:t>re seus dirigentes:</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 xml:space="preserve">Pessoa julgada responsável </w:t>
      </w:r>
      <w:r>
        <w:rPr>
          <w:rFonts w:ascii="Times New Roman" w:hAnsi="Times New Roman"/>
          <w:sz w:val="22"/>
          <w:szCs w:val="22"/>
        </w:rPr>
        <w:t>por falta grave e inabilitada para o exercício de cargo em comissão ou função de confiança, enquanto durar a inabilitação;</w:t>
      </w:r>
    </w:p>
    <w:p w:rsidR="00630581" w:rsidRDefault="00C74C10">
      <w:pPr>
        <w:pStyle w:val="PargrafodaLista"/>
        <w:numPr>
          <w:ilvl w:val="3"/>
          <w:numId w:val="3"/>
        </w:numPr>
        <w:spacing w:before="120" w:line="264" w:lineRule="auto"/>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hyperlink r:id="rId8" w:anchor="art12i" w:history="1">
        <w:r>
          <w:rPr>
            <w:rFonts w:ascii="Times New Roman" w:hAnsi="Times New Roman"/>
            <w:sz w:val="22"/>
            <w:szCs w:val="22"/>
          </w:rPr>
          <w:t xml:space="preserve"> incisos I, II e III do art. 12 da Lei no 8.429, de 2 de junho de 1992;</w:t>
        </w:r>
      </w:hyperlink>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Empregado ou dirigente do CAU/BR ou dos CAU/UF, bem como seus cônjuges, companheiros ou parentes até segundo grau.</w:t>
      </w:r>
    </w:p>
    <w:p w:rsidR="00630581" w:rsidRDefault="00C74C10">
      <w:pPr>
        <w:pStyle w:val="PargrafodaLista"/>
        <w:numPr>
          <w:ilvl w:val="4"/>
          <w:numId w:val="3"/>
        </w:numPr>
        <w:spacing w:before="120" w:line="264" w:lineRule="auto"/>
        <w:ind w:left="2268"/>
        <w:jc w:val="both"/>
        <w:rPr>
          <w:rFonts w:ascii="Times New Roman" w:hAnsi="Times New Roman"/>
          <w:sz w:val="22"/>
          <w:szCs w:val="22"/>
        </w:rPr>
      </w:pPr>
      <w:r>
        <w:rPr>
          <w:rFonts w:ascii="Times New Roman" w:hAnsi="Times New Roman"/>
          <w:sz w:val="22"/>
          <w:szCs w:val="22"/>
        </w:rPr>
        <w:t xml:space="preserve">Entende-se por dirigentes do CAU/BR e dos </w:t>
      </w:r>
      <w:r>
        <w:rPr>
          <w:rFonts w:ascii="Times New Roman" w:hAnsi="Times New Roman"/>
          <w:sz w:val="22"/>
          <w:szCs w:val="22"/>
        </w:rPr>
        <w:t>CAU/UF, os conselheiros titulares e suplentes.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w:t>
      </w:r>
      <w:r>
        <w:rPr>
          <w:rFonts w:ascii="Times New Roman" w:hAnsi="Times New Roman"/>
          <w:sz w:val="22"/>
          <w:szCs w:val="22"/>
        </w:rPr>
        <w:t>ão, de fiscalização, de exercício de poder de polícia ou de outras atividades exclusivas de Estado, em especial do CAU/PR;</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w:t>
      </w:r>
      <w:r>
        <w:rPr>
          <w:rFonts w:ascii="Times New Roman" w:hAnsi="Times New Roman"/>
          <w:sz w:val="22"/>
          <w:szCs w:val="22"/>
        </w:rPr>
        <w:t xml:space="preserve">vinculados à parceria, salvo nas hipóteses previstas em lei específica e na lei de diretrizes orçamentárias; </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w:t>
      </w:r>
      <w:r>
        <w:rPr>
          <w:rFonts w:ascii="Times New Roman" w:hAnsi="Times New Roman"/>
          <w:sz w:val="22"/>
          <w:szCs w:val="22"/>
        </w:rPr>
        <w:t>rceiro grau de algum dos dirigentes da Organização da Sociedade Civil;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lastRenderedPageBreak/>
        <w:t>Remunerar com recursos da parceria as pessoas jurídicas que tenham como representante legal, acionista ou cotista, que seja cônjuge, companheiro ou parente em linha reta, colateral ou p</w:t>
      </w:r>
      <w:r>
        <w:rPr>
          <w:rFonts w:ascii="Times New Roman" w:hAnsi="Times New Roman"/>
          <w:sz w:val="22"/>
          <w:szCs w:val="22"/>
        </w:rPr>
        <w:t>or afinidade até o terceiro grau de algum dos dirigentes da Organização da Sociedade Civil;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participação nest</w:t>
      </w:r>
      <w:r>
        <w:rPr>
          <w:rFonts w:ascii="Times New Roman" w:hAnsi="Times New Roman"/>
          <w:sz w:val="22"/>
          <w:szCs w:val="22"/>
        </w:rPr>
        <w:t>e processo implica a aceitação plena e irrevogável das normas deste Edital.</w:t>
      </w:r>
    </w:p>
    <w:p w:rsidR="00630581" w:rsidRDefault="00630581">
      <w:pPr>
        <w:pStyle w:val="PargrafodaLista"/>
        <w:suppressAutoHyphens w:val="0"/>
        <w:spacing w:before="120" w:line="264" w:lineRule="auto"/>
        <w:ind w:left="567"/>
        <w:jc w:val="both"/>
        <w:rPr>
          <w:rFonts w:ascii="Times New Roman" w:hAnsi="Times New Roman"/>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DOS PROJETOS</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w:t>
      </w:r>
      <w:r>
        <w:rPr>
          <w:rFonts w:ascii="Times New Roman" w:hAnsi="Times New Roman"/>
          <w:sz w:val="22"/>
          <w:szCs w:val="22"/>
        </w:rPr>
        <w:t xml:space="preserve"> de 2019,</w:t>
      </w:r>
      <w:r>
        <w:rPr>
          <w:rFonts w:ascii="Times New Roman" w:hAnsi="Times New Roman"/>
          <w:color w:val="FF0000"/>
          <w:sz w:val="22"/>
          <w:szCs w:val="22"/>
        </w:rPr>
        <w:t xml:space="preserve"> </w:t>
      </w:r>
      <w:r>
        <w:rPr>
          <w:rFonts w:ascii="Times New Roman" w:hAnsi="Times New Roman"/>
          <w:sz w:val="22"/>
          <w:szCs w:val="22"/>
        </w:rPr>
        <w:t>e na legislação em vigor.</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w:t>
      </w:r>
      <w:r>
        <w:rPr>
          <w:rFonts w:ascii="Times New Roman" w:hAnsi="Times New Roman"/>
          <w:color w:val="000000"/>
          <w:sz w:val="22"/>
          <w:szCs w:val="22"/>
        </w:rPr>
        <w:t>R$ 120.000,00 (cento e vinte mil reais), sendo este val</w:t>
      </w:r>
      <w:r>
        <w:rPr>
          <w:rFonts w:ascii="Times New Roman" w:hAnsi="Times New Roman"/>
          <w:color w:val="000000"/>
          <w:sz w:val="22"/>
          <w:szCs w:val="22"/>
        </w:rPr>
        <w:t>or distribuído em</w:t>
      </w:r>
      <w:r>
        <w:rPr>
          <w:rFonts w:ascii="Times New Roman" w:hAnsi="Times New Roman"/>
          <w:b/>
          <w:bCs/>
          <w:color w:val="000000"/>
          <w:sz w:val="22"/>
          <w:szCs w:val="22"/>
        </w:rPr>
        <w:t xml:space="preserve"> </w:t>
      </w:r>
      <w:r>
        <w:rPr>
          <w:rFonts w:ascii="Times New Roman" w:hAnsi="Times New Roman"/>
          <w:color w:val="000000"/>
          <w:sz w:val="22"/>
          <w:szCs w:val="22"/>
        </w:rPr>
        <w:t>03 (três) cotas, sendo 01 (uma) cota de até R$ 60.000,00 (sessenta mil reais) para projeto de publicação e 02 (duas) cotas de até R$ 30.000,00 (trinta mil reais) para projetos de ações de ATHIS.</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 xml:space="preserve">Não haverá limitação ao número de projetos </w:t>
      </w:r>
      <w:r>
        <w:rPr>
          <w:rFonts w:ascii="Times New Roman" w:hAnsi="Times New Roman"/>
          <w:sz w:val="22"/>
          <w:szCs w:val="22"/>
        </w:rPr>
        <w:t>de um mesmo proponente, desde que atendam ao objeto desta chamada pública e às exigências deste edital e normas pertinentes, devendo cada projeto ser apresentado separadamente.</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Somente são elegíveis projetos cuja execução se inicie a partir de janeiro de 2</w:t>
      </w:r>
      <w:r>
        <w:rPr>
          <w:rFonts w:ascii="Times New Roman" w:hAnsi="Times New Roman"/>
          <w:sz w:val="22"/>
          <w:szCs w:val="22"/>
        </w:rPr>
        <w:t xml:space="preserve">022 e conclusão não ultrapasse </w:t>
      </w:r>
      <w:r>
        <w:rPr>
          <w:rFonts w:ascii="Times New Roman" w:hAnsi="Times New Roman"/>
          <w:sz w:val="22"/>
          <w:szCs w:val="22"/>
        </w:rPr>
        <w:t>janei</w:t>
      </w:r>
      <w:r>
        <w:rPr>
          <w:rFonts w:ascii="Times New Roman" w:hAnsi="Times New Roman"/>
          <w:sz w:val="22"/>
          <w:szCs w:val="22"/>
        </w:rPr>
        <w:t>ro de 2023.</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 xml:space="preserve">A Organização da Sociedade Civil, de acordo com as características do objeto da parceria, deverá prever na execução do projeto, medidas de acessibilidade para pessoas com deficiência ou mobilidade reduzida e </w:t>
      </w:r>
      <w:r>
        <w:rPr>
          <w:rFonts w:ascii="Times New Roman" w:hAnsi="Times New Roman"/>
          <w:sz w:val="22"/>
          <w:szCs w:val="22"/>
        </w:rPr>
        <w:t>idosos.</w:t>
      </w:r>
    </w:p>
    <w:p w:rsidR="00630581" w:rsidRDefault="00C74C10">
      <w:pPr>
        <w:pStyle w:val="PargrafodaLista"/>
        <w:numPr>
          <w:ilvl w:val="1"/>
          <w:numId w:val="3"/>
        </w:numPr>
        <w:suppressAutoHyphens w:val="0"/>
        <w:spacing w:before="60"/>
        <w:ind w:left="567" w:hanging="567"/>
        <w:jc w:val="both"/>
        <w:rPr>
          <w:rFonts w:ascii="Times New Roman" w:hAnsi="Times New Roman"/>
          <w:sz w:val="22"/>
          <w:szCs w:val="22"/>
        </w:rPr>
      </w:pPr>
      <w:r>
        <w:rPr>
          <w:rFonts w:ascii="Times New Roman" w:hAnsi="Times New Roman"/>
          <w:sz w:val="22"/>
          <w:szCs w:val="22"/>
        </w:rPr>
        <w:t xml:space="preserve">Os valores a serem repassados pelo CAU/PR para atendimento das parcerias a serem firmadas, a que se refere o item 3 do presente edital, serão equivalentes a no mínimo 2% (dois por cento) da receita anual do </w:t>
      </w:r>
      <w:r>
        <w:rPr>
          <w:rFonts w:ascii="Times New Roman" w:hAnsi="Times New Roman"/>
          <w:color w:val="000000"/>
          <w:sz w:val="22"/>
          <w:szCs w:val="22"/>
        </w:rPr>
        <w:t>Conselho</w:t>
      </w:r>
      <w:r>
        <w:rPr>
          <w:rFonts w:ascii="Times New Roman" w:hAnsi="Times New Roman"/>
          <w:sz w:val="22"/>
          <w:szCs w:val="22"/>
        </w:rPr>
        <w:t>, tendo em vista o percentual apr</w:t>
      </w:r>
      <w:r>
        <w:rPr>
          <w:rFonts w:ascii="Times New Roman" w:hAnsi="Times New Roman"/>
          <w:sz w:val="22"/>
          <w:szCs w:val="22"/>
        </w:rPr>
        <w:t>ovado no plano de ação do CAU/PR de 2021.</w:t>
      </w:r>
    </w:p>
    <w:p w:rsidR="00630581" w:rsidRDefault="00630581">
      <w:pPr>
        <w:pStyle w:val="PargrafodaLista"/>
        <w:suppressAutoHyphens w:val="0"/>
        <w:spacing w:before="121"/>
        <w:ind w:left="567" w:right="106"/>
        <w:jc w:val="both"/>
        <w:rPr>
          <w:rFonts w:ascii="Times New Roman" w:hAnsi="Times New Roman"/>
          <w:sz w:val="22"/>
          <w:szCs w:val="22"/>
        </w:rPr>
      </w:pPr>
    </w:p>
    <w:p w:rsidR="00630581" w:rsidRDefault="00C74C10">
      <w:pPr>
        <w:pStyle w:val="PargrafodaLista"/>
        <w:numPr>
          <w:ilvl w:val="0"/>
          <w:numId w:val="3"/>
        </w:numPr>
        <w:spacing w:before="121"/>
        <w:ind w:left="567" w:right="106" w:hanging="567"/>
        <w:jc w:val="both"/>
        <w:rPr>
          <w:rFonts w:hint="eastAsia"/>
          <w:color w:val="000000"/>
        </w:rPr>
      </w:pPr>
      <w:r>
        <w:rPr>
          <w:rFonts w:ascii="Times New Roman" w:hAnsi="Times New Roman"/>
          <w:b/>
          <w:color w:val="000000"/>
          <w:sz w:val="22"/>
          <w:szCs w:val="22"/>
        </w:rPr>
        <w:t>DAS PROPOSTAS</w:t>
      </w:r>
    </w:p>
    <w:p w:rsidR="00630581" w:rsidRDefault="00C74C10">
      <w:pPr>
        <w:pStyle w:val="PargrafodaLista"/>
        <w:numPr>
          <w:ilvl w:val="1"/>
          <w:numId w:val="3"/>
        </w:numPr>
        <w:suppressAutoHyphens w:val="0"/>
        <w:spacing w:before="120" w:line="264" w:lineRule="auto"/>
        <w:ind w:left="567" w:hanging="567"/>
        <w:jc w:val="both"/>
        <w:rPr>
          <w:rFonts w:hint="eastAsia"/>
          <w:color w:val="000000"/>
        </w:rPr>
      </w:pPr>
      <w:r>
        <w:rPr>
          <w:rFonts w:ascii="Times New Roman" w:hAnsi="Times New Roman"/>
          <w:color w:val="000000"/>
          <w:sz w:val="22"/>
          <w:szCs w:val="22"/>
        </w:rPr>
        <w:t xml:space="preserve">As Organizações da Sociedade Civil interessadas em estabelecer a parceria, nos termos do presente edital, deverão apresentar a proposta do projeto, por meio do preenchimento das informações </w:t>
      </w:r>
      <w:r>
        <w:rPr>
          <w:rFonts w:ascii="Times New Roman" w:hAnsi="Times New Roman"/>
          <w:color w:val="000000"/>
          <w:sz w:val="22"/>
          <w:szCs w:val="22"/>
        </w:rPr>
        <w:t>constantes do de Formulário de Apresentação de Projeto, Anexo I, do presente Edital.</w:t>
      </w:r>
    </w:p>
    <w:p w:rsidR="00630581" w:rsidRDefault="00C74C10">
      <w:pPr>
        <w:pStyle w:val="PargrafodaLista"/>
        <w:numPr>
          <w:ilvl w:val="1"/>
          <w:numId w:val="3"/>
        </w:numPr>
        <w:suppressAutoHyphens w:val="0"/>
        <w:spacing w:before="120" w:line="264" w:lineRule="auto"/>
        <w:ind w:left="567" w:hanging="567"/>
        <w:jc w:val="both"/>
        <w:rPr>
          <w:rFonts w:hint="eastAsia"/>
          <w:color w:val="000000"/>
        </w:rPr>
      </w:pPr>
      <w:r>
        <w:rPr>
          <w:rFonts w:ascii="Times New Roman" w:hAnsi="Times New Roman"/>
          <w:color w:val="000000"/>
          <w:sz w:val="22"/>
          <w:szCs w:val="22"/>
        </w:rPr>
        <w:t>As despesas relacionadas à execução das propostas serão executadas nos termos do presente edital, sendo, a) admitidas: somente, as despesas previstas no Manual de Prestaçã</w:t>
      </w:r>
      <w:r>
        <w:rPr>
          <w:rFonts w:ascii="Times New Roman" w:hAnsi="Times New Roman"/>
          <w:color w:val="000000"/>
          <w:sz w:val="22"/>
          <w:szCs w:val="22"/>
        </w:rPr>
        <w:t xml:space="preserve">o de Contas – Anexo XI; b) vedadas: conforme artigo 45 da Lei nº 13.019/2015: </w:t>
      </w:r>
    </w:p>
    <w:p w:rsidR="00630581" w:rsidRDefault="00C74C10">
      <w:pPr>
        <w:pStyle w:val="PargrafodaLista"/>
        <w:numPr>
          <w:ilvl w:val="0"/>
          <w:numId w:val="13"/>
        </w:numPr>
        <w:suppressAutoHyphens w:val="0"/>
        <w:spacing w:before="120" w:line="264" w:lineRule="auto"/>
        <w:jc w:val="both"/>
        <w:rPr>
          <w:rFonts w:hint="eastAsia"/>
          <w:color w:val="000000"/>
        </w:rPr>
      </w:pPr>
      <w:r>
        <w:rPr>
          <w:rFonts w:ascii="Times New Roman" w:hAnsi="Times New Roman"/>
          <w:color w:val="000000"/>
          <w:sz w:val="22"/>
          <w:szCs w:val="22"/>
        </w:rPr>
        <w:t>utilizar recursos para finalidade alheia ao objeto da parceria;</w:t>
      </w:r>
      <w:bookmarkStart w:id="0" w:name="art45ii"/>
      <w:bookmarkEnd w:id="0"/>
    </w:p>
    <w:p w:rsidR="00630581" w:rsidRDefault="00C74C10">
      <w:pPr>
        <w:pStyle w:val="PargrafodaLista"/>
        <w:numPr>
          <w:ilvl w:val="0"/>
          <w:numId w:val="13"/>
        </w:numPr>
        <w:suppressAutoHyphens w:val="0"/>
        <w:spacing w:before="120" w:line="264" w:lineRule="auto"/>
        <w:jc w:val="both"/>
        <w:rPr>
          <w:rFonts w:hint="eastAsia"/>
          <w:color w:val="000000"/>
        </w:rPr>
      </w:pPr>
      <w:r>
        <w:rPr>
          <w:rFonts w:ascii="Times New Roman" w:hAnsi="Times New Roman"/>
          <w:color w:val="000000"/>
          <w:sz w:val="22"/>
          <w:szCs w:val="22"/>
        </w:rPr>
        <w:t>pagar, a qualquer título, servidor ou empregado público com recursos vinculados à parceria, salvo nas hipóteses p</w:t>
      </w:r>
      <w:r>
        <w:rPr>
          <w:rFonts w:ascii="Times New Roman" w:hAnsi="Times New Roman"/>
          <w:color w:val="000000"/>
          <w:sz w:val="22"/>
          <w:szCs w:val="22"/>
        </w:rPr>
        <w:t>revistas em lei específica e na lei de diretrizes orçamentárias.</w:t>
      </w:r>
    </w:p>
    <w:p w:rsidR="00630581" w:rsidRDefault="00630581">
      <w:pPr>
        <w:spacing w:line="264" w:lineRule="auto"/>
        <w:rPr>
          <w:color w:val="000000"/>
          <w:sz w:val="22"/>
          <w:szCs w:val="22"/>
        </w:rPr>
      </w:pPr>
    </w:p>
    <w:p w:rsidR="00630581" w:rsidRDefault="00C74C10">
      <w:pPr>
        <w:pStyle w:val="PargrafodaLista"/>
        <w:numPr>
          <w:ilvl w:val="0"/>
          <w:numId w:val="3"/>
        </w:numPr>
        <w:spacing w:before="121"/>
        <w:ind w:left="567" w:right="106" w:hanging="567"/>
        <w:jc w:val="both"/>
        <w:rPr>
          <w:rFonts w:hint="eastAsia"/>
          <w:color w:val="000000"/>
        </w:rPr>
      </w:pPr>
      <w:r>
        <w:rPr>
          <w:rFonts w:ascii="Times New Roman" w:hAnsi="Times New Roman"/>
          <w:b/>
          <w:color w:val="000000"/>
          <w:sz w:val="22"/>
          <w:szCs w:val="22"/>
        </w:rPr>
        <w:t>DA APRESENTAÇÃO DAS PROPOSTAS</w:t>
      </w:r>
    </w:p>
    <w:p w:rsidR="00630581" w:rsidRDefault="00C74C10">
      <w:pPr>
        <w:pStyle w:val="PargrafodaLista"/>
        <w:numPr>
          <w:ilvl w:val="1"/>
          <w:numId w:val="3"/>
        </w:numPr>
        <w:suppressAutoHyphens w:val="0"/>
        <w:spacing w:before="120" w:line="264" w:lineRule="auto"/>
        <w:ind w:left="567" w:hanging="567"/>
        <w:jc w:val="both"/>
        <w:rPr>
          <w:rFonts w:hint="eastAsia"/>
          <w:color w:val="000000"/>
        </w:rPr>
      </w:pPr>
      <w:r>
        <w:rPr>
          <w:noProof/>
          <w:lang w:eastAsia="pt-BR"/>
        </w:rPr>
        <w:lastRenderedPageBreak/>
        <mc:AlternateContent>
          <mc:Choice Requires="wps">
            <w:drawing>
              <wp:anchor distT="19050" distB="0" distL="132715" distR="112395" simplePos="0" relativeHeight="24" behindDoc="0" locked="0" layoutInCell="0" allowOverlap="1" wp14:anchorId="676CFBB7">
                <wp:simplePos x="0" y="0"/>
                <wp:positionH relativeFrom="column">
                  <wp:posOffset>13970</wp:posOffset>
                </wp:positionH>
                <wp:positionV relativeFrom="paragraph">
                  <wp:posOffset>797560</wp:posOffset>
                </wp:positionV>
                <wp:extent cx="5652135" cy="1640205"/>
                <wp:effectExtent l="0" t="0" r="13335" b="12065"/>
                <wp:wrapTopAndBottom/>
                <wp:docPr id="1" name="Caixa de texto 1"/>
                <wp:cNvGraphicFramePr/>
                <a:graphic xmlns:a="http://schemas.openxmlformats.org/drawingml/2006/main">
                  <a:graphicData uri="http://schemas.microsoft.com/office/word/2010/wordprocessingShape">
                    <wps:wsp>
                      <wps:cNvSpPr/>
                      <wps:spPr>
                        <a:xfrm>
                          <a:off x="0" y="0"/>
                          <a:ext cx="5651640" cy="16394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630581" w:rsidRDefault="00C74C10">
                            <w:pPr>
                              <w:pStyle w:val="Contedodoquadro"/>
                              <w:spacing w:before="240"/>
                              <w:ind w:left="200"/>
                              <w:contextualSpacing/>
                              <w:rPr>
                                <w:b/>
                                <w:sz w:val="22"/>
                              </w:rPr>
                            </w:pPr>
                            <w:r>
                              <w:rPr>
                                <w:b/>
                                <w:color w:val="000000"/>
                                <w:sz w:val="22"/>
                              </w:rPr>
                              <w:t xml:space="preserve">CONSELHO DE ARQUITETURA E URBANISMO DE PARANÁ </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b/>
                                <w:color w:val="000000"/>
                                <w:sz w:val="22"/>
                              </w:rPr>
                              <w:t>EDITAL DE CHAMAMENTO PÚBLICO N° 002/2021</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color w:val="000000"/>
                                <w:sz w:val="22"/>
                                <w:u w:val="single"/>
                              </w:rPr>
                              <w:t>PROPOSTA</w:t>
                            </w:r>
                          </w:p>
                          <w:p w:rsidR="00630581" w:rsidRDefault="00630581">
                            <w:pPr>
                              <w:pStyle w:val="Corpodetexto"/>
                              <w:spacing w:before="0"/>
                              <w:ind w:left="200"/>
                              <w:contextualSpacing/>
                              <w:rPr>
                                <w:sz w:val="20"/>
                              </w:rPr>
                            </w:pPr>
                          </w:p>
                          <w:p w:rsidR="00630581" w:rsidRDefault="00C74C10">
                            <w:pPr>
                              <w:pStyle w:val="Corpodetexto"/>
                              <w:spacing w:before="0"/>
                              <w:ind w:left="200"/>
                              <w:contextualSpacing/>
                              <w:rPr>
                                <w:color w:val="000000"/>
                              </w:rPr>
                            </w:pPr>
                            <w:r>
                              <w:rPr>
                                <w:color w:val="000000"/>
                              </w:rPr>
                              <w:t>Av. Nossa Senhora da Luz, 2530, Alto da XV</w:t>
                            </w:r>
                          </w:p>
                          <w:p w:rsidR="00630581" w:rsidRDefault="00C74C10">
                            <w:pPr>
                              <w:pStyle w:val="Corpodetexto"/>
                              <w:spacing w:before="0"/>
                              <w:ind w:left="200"/>
                              <w:contextualSpacing/>
                              <w:rPr>
                                <w:color w:val="000000"/>
                              </w:rPr>
                            </w:pPr>
                            <w:r>
                              <w:rPr>
                                <w:color w:val="000000"/>
                              </w:rPr>
                              <w:t>CEP 80045-360</w:t>
                            </w:r>
                          </w:p>
                          <w:p w:rsidR="00630581" w:rsidRDefault="00C74C10">
                            <w:pPr>
                              <w:pStyle w:val="Corpodetexto"/>
                              <w:spacing w:before="0"/>
                              <w:ind w:left="200"/>
                              <w:contextualSpacing/>
                              <w:rPr>
                                <w:color w:val="000000"/>
                              </w:rPr>
                            </w:pPr>
                            <w:r>
                              <w:rPr>
                                <w:color w:val="000000"/>
                              </w:rPr>
                              <w:t>Curitiba, PR</w:t>
                            </w:r>
                          </w:p>
                        </w:txbxContent>
                      </wps:txbx>
                      <wps:bodyPr lIns="0" tIns="0" rIns="0" bIns="0" upright="1">
                        <a:noAutofit/>
                      </wps:bodyPr>
                    </wps:wsp>
                  </a:graphicData>
                </a:graphic>
              </wp:anchor>
            </w:drawing>
          </mc:Choice>
          <mc:Fallback>
            <w:pict>
              <v:rect id="shape_0" ID="Caixa de texto 1" path="m0,0l-2147483645,0l-2147483645,-2147483646l0,-2147483646xe" stroked="t" style="position:absolute;margin-left:1.1pt;margin-top:62.8pt;width:444.95pt;height:129.05pt;mso-wrap-style:square;v-text-anchor:top" wp14:anchorId="676CFBB7">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w:t>
      </w:r>
      <w:r>
        <w:rPr>
          <w:rFonts w:ascii="Times New Roman" w:hAnsi="Times New Roman"/>
          <w:color w:val="000000"/>
          <w:sz w:val="22"/>
          <w:szCs w:val="22"/>
        </w:rPr>
        <w:t>mento), ou entregar pessoalmente na sede do Conselho, na seguinte forma:</w:t>
      </w:r>
    </w:p>
    <w:p w:rsidR="00630581" w:rsidRDefault="00C74C10">
      <w:pPr>
        <w:pStyle w:val="PargrafodaLista"/>
        <w:numPr>
          <w:ilvl w:val="1"/>
          <w:numId w:val="3"/>
        </w:numPr>
        <w:suppressAutoHyphens w:val="0"/>
        <w:spacing w:before="120" w:line="264" w:lineRule="auto"/>
        <w:ind w:left="567" w:hanging="567"/>
        <w:jc w:val="both"/>
        <w:rPr>
          <w:rFonts w:hint="eastAsia"/>
          <w:color w:val="000000"/>
        </w:rPr>
      </w:pPr>
      <w:r>
        <w:rPr>
          <w:rFonts w:ascii="Times New Roman" w:hAnsi="Times New Roman"/>
          <w:color w:val="000000"/>
          <w:sz w:val="22"/>
          <w:szCs w:val="22"/>
        </w:rPr>
        <w:t>Não será aceita outra forma de apresentação dos envelopes além da descrita no item 7.1, do presente Edital.</w:t>
      </w:r>
    </w:p>
    <w:p w:rsidR="00630581" w:rsidRDefault="00C74C10">
      <w:pPr>
        <w:pStyle w:val="PargrafodaLista"/>
        <w:numPr>
          <w:ilvl w:val="1"/>
          <w:numId w:val="3"/>
        </w:numPr>
        <w:suppressAutoHyphens w:val="0"/>
        <w:spacing w:before="120" w:line="264" w:lineRule="auto"/>
        <w:ind w:left="567" w:hanging="567"/>
        <w:jc w:val="both"/>
        <w:rPr>
          <w:rFonts w:hint="eastAsia"/>
          <w:color w:val="000000"/>
        </w:rPr>
      </w:pPr>
      <w:r>
        <w:rPr>
          <w:rFonts w:ascii="Times New Roman" w:hAnsi="Times New Roman"/>
          <w:color w:val="000000"/>
          <w:sz w:val="22"/>
          <w:szCs w:val="22"/>
        </w:rPr>
        <w:t>Será considerado pelo CAU/PR, para efeito de comprovação da data de entrega</w:t>
      </w:r>
      <w:r>
        <w:rPr>
          <w:rFonts w:ascii="Times New Roman" w:hAnsi="Times New Roman"/>
          <w:color w:val="000000"/>
          <w:sz w:val="22"/>
          <w:szCs w:val="22"/>
        </w:rPr>
        <w:t xml:space="preserve"> do projeto na sede do Conselho, a data de recebimento conforme constará no A.R. dos Correios, ou a data do protocolo de entrega para os projetos entregues diretamente na sede do CAU/PR.</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bCs/>
          <w:color w:val="000000"/>
          <w:sz w:val="22"/>
          <w:szCs w:val="22"/>
        </w:rPr>
        <w:t>26</w:t>
      </w:r>
      <w:r>
        <w:rPr>
          <w:rFonts w:ascii="Times New Roman" w:hAnsi="Times New Roman"/>
          <w:b/>
          <w:bCs/>
          <w:color w:val="000000"/>
          <w:sz w:val="22"/>
          <w:szCs w:val="22"/>
        </w:rPr>
        <w:t>/</w:t>
      </w:r>
      <w:r>
        <w:rPr>
          <w:rFonts w:ascii="Times New Roman" w:hAnsi="Times New Roman"/>
          <w:b/>
          <w:color w:val="000000"/>
          <w:sz w:val="22"/>
          <w:szCs w:val="22"/>
        </w:rPr>
        <w:t xml:space="preserve">11/2021, </w:t>
      </w:r>
      <w:r>
        <w:rPr>
          <w:rFonts w:ascii="Times New Roman" w:hAnsi="Times New Roman"/>
          <w:b/>
          <w:sz w:val="22"/>
          <w:szCs w:val="22"/>
        </w:rPr>
        <w:t>até à</w:t>
      </w:r>
      <w:r>
        <w:rPr>
          <w:rFonts w:ascii="Times New Roman" w:hAnsi="Times New Roman"/>
          <w:b/>
          <w:sz w:val="22"/>
          <w:szCs w:val="22"/>
        </w:rPr>
        <w:t>s</w:t>
      </w:r>
      <w:r>
        <w:rPr>
          <w:rFonts w:ascii="Times New Roman" w:hAnsi="Times New Roman"/>
          <w:b/>
          <w:spacing w:val="-10"/>
          <w:sz w:val="22"/>
          <w:szCs w:val="22"/>
        </w:rPr>
        <w:t xml:space="preserve"> </w:t>
      </w:r>
      <w:r>
        <w:rPr>
          <w:rFonts w:ascii="Times New Roman" w:hAnsi="Times New Roman"/>
          <w:b/>
          <w:sz w:val="22"/>
          <w:szCs w:val="22"/>
        </w:rPr>
        <w:t>15h59.</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limite estabelecida no item 7.4.</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b/>
          <w:sz w:val="22"/>
          <w:szCs w:val="22"/>
          <w:u w:val="single"/>
        </w:rPr>
        <w:t>A apr</w:t>
      </w:r>
      <w:r>
        <w:rPr>
          <w:rFonts w:ascii="Times New Roman" w:hAnsi="Times New Roman"/>
          <w:b/>
          <w:sz w:val="22"/>
          <w:szCs w:val="22"/>
          <w:u w:val="single"/>
        </w:rPr>
        <w:t>esentação de propostas não garante a seleção dos respectivos projetos, tampouco gera obrigação de parceria ou desembolso financeiro por parte do CAU/PR.</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w:t>
      </w:r>
      <w:r>
        <w:rPr>
          <w:rFonts w:ascii="Times New Roman" w:hAnsi="Times New Roman"/>
          <w:sz w:val="22"/>
          <w:szCs w:val="22"/>
        </w:rPr>
        <w:t>sponsável Técnico do projeto no Formulário de Apresentação de Projeto (Anexo I).</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w:t>
      </w:r>
      <w:r>
        <w:rPr>
          <w:rFonts w:ascii="Times New Roman" w:hAnsi="Times New Roman"/>
          <w:sz w:val="22"/>
          <w:szCs w:val="22"/>
        </w:rPr>
        <w:t>ento e ou envio de e-mails, decorrentes de problemas técnicos dos equipamentos ou servidores que são utilizados pelo proponente.</w:t>
      </w:r>
    </w:p>
    <w:p w:rsidR="00630581" w:rsidRDefault="00630581">
      <w:pPr>
        <w:spacing w:before="120" w:after="120"/>
        <w:jc w:val="both"/>
        <w:rPr>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COMISSÃO DE SELEÇÃO E DO PROCESSO DE SELEÇÃO</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O processo de seleção abrangerá a avaliação das propostas, a divulgação e a </w:t>
      </w:r>
      <w:r>
        <w:rPr>
          <w:rFonts w:ascii="Times New Roman" w:hAnsi="Times New Roman"/>
          <w:sz w:val="22"/>
          <w:szCs w:val="22"/>
        </w:rPr>
        <w:t>homologação dos resultados.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A avaliação das propostas terá caráter eliminatório </w:t>
      </w:r>
      <w:r>
        <w:rPr>
          <w:rFonts w:ascii="Times New Roman" w:hAnsi="Times New Roman"/>
          <w:sz w:val="22"/>
          <w:szCs w:val="22"/>
        </w:rPr>
        <w:t>e classificatório.</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 xml:space="preserve">esteja em desacordo com </w:t>
      </w:r>
      <w:r>
        <w:rPr>
          <w:rFonts w:ascii="Times New Roman" w:hAnsi="Times New Roman"/>
          <w:sz w:val="22"/>
          <w:szCs w:val="22"/>
        </w:rPr>
        <w:lastRenderedPageBreak/>
        <w:t>os termos do edital (art. 16, §2º, do Decreto nº 8.726, de 2016) ou que não contenha os requisitos constantes da Deliberação Plenária CAU/PR N° 0099-</w:t>
      </w:r>
      <w:r>
        <w:rPr>
          <w:rFonts w:ascii="Times New Roman" w:hAnsi="Times New Roman"/>
          <w:sz w:val="22"/>
          <w:szCs w:val="22"/>
        </w:rPr>
        <w:t>08/2019, de 27 de agosto de 2019</w:t>
      </w:r>
      <w:r>
        <w:rPr>
          <w:rFonts w:ascii="Times New Roman" w:hAnsi="Times New Roman"/>
          <w:color w:val="FF0000"/>
          <w:sz w:val="22"/>
          <w:szCs w:val="22"/>
        </w:rPr>
        <w:t>.</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rsidR="00630581" w:rsidRDefault="00630581">
      <w:pPr>
        <w:pStyle w:val="PargrafodaLista"/>
        <w:suppressAutoHyphens w:val="0"/>
        <w:spacing w:before="121"/>
        <w:ind w:left="1134" w:right="106"/>
        <w:jc w:val="both"/>
        <w:rPr>
          <w:rFonts w:ascii="Times New Roman" w:hAnsi="Times New Roman"/>
          <w:sz w:val="22"/>
          <w:szCs w:val="22"/>
        </w:rPr>
      </w:pPr>
    </w:p>
    <w:tbl>
      <w:tblPr>
        <w:tblStyle w:val="TableNormal"/>
        <w:tblW w:w="9656" w:type="dxa"/>
        <w:tblInd w:w="-5" w:type="dxa"/>
        <w:tblLayout w:type="fixed"/>
        <w:tblCellMar>
          <w:left w:w="5" w:type="dxa"/>
          <w:right w:w="5" w:type="dxa"/>
        </w:tblCellMar>
        <w:tblLook w:val="01E0" w:firstRow="1" w:lastRow="1" w:firstColumn="1" w:lastColumn="1" w:noHBand="0" w:noVBand="0"/>
      </w:tblPr>
      <w:tblGrid>
        <w:gridCol w:w="2694"/>
        <w:gridCol w:w="5244"/>
        <w:gridCol w:w="1718"/>
      </w:tblGrid>
      <w:tr w:rsidR="00630581">
        <w:trPr>
          <w:trHeight w:val="942"/>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b/>
                <w:szCs w:val="22"/>
              </w:rPr>
            </w:pPr>
            <w:r>
              <w:rPr>
                <w:b/>
                <w:szCs w:val="22"/>
                <w:lang w:val="en-US"/>
              </w:rPr>
              <w:t>Critérios</w:t>
            </w:r>
            <w:r>
              <w:rPr>
                <w:b/>
                <w:spacing w:val="-2"/>
                <w:szCs w:val="22"/>
                <w:lang w:val="en-US"/>
              </w:rPr>
              <w:t xml:space="preserve"> </w:t>
            </w:r>
            <w:r>
              <w:rPr>
                <w:b/>
                <w:szCs w:val="22"/>
                <w:lang w:val="en-US"/>
              </w:rPr>
              <w:t>de Julgamento</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b/>
                <w:szCs w:val="22"/>
              </w:rPr>
            </w:pPr>
            <w:r>
              <w:rPr>
                <w:b/>
                <w:szCs w:val="22"/>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b/>
                <w:szCs w:val="22"/>
              </w:rPr>
            </w:pPr>
            <w:r>
              <w:rPr>
                <w:b/>
                <w:szCs w:val="22"/>
              </w:rPr>
              <w:t>Pontuação Máxima por Item</w:t>
            </w:r>
          </w:p>
        </w:tc>
      </w:tr>
      <w:tr w:rsidR="00630581">
        <w:trPr>
          <w:trHeight w:val="1951"/>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146" w:right="250"/>
              <w:rPr>
                <w:szCs w:val="22"/>
              </w:rPr>
            </w:pPr>
            <w:r>
              <w:rPr>
                <w:szCs w:val="22"/>
              </w:rPr>
              <w:t xml:space="preserve">(A) Informações sobre ações a serem </w:t>
            </w:r>
            <w:r>
              <w:rPr>
                <w:szCs w:val="22"/>
              </w:rPr>
              <w:t>executadas, metas a serem atingidas, indicadores que aferirão o cumprimento das metas e prazos para a execução das ações e para o cumprimento das metas</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numPr>
                <w:ilvl w:val="0"/>
                <w:numId w:val="8"/>
              </w:numPr>
              <w:tabs>
                <w:tab w:val="left" w:pos="185"/>
              </w:tabs>
              <w:spacing w:before="60" w:after="60"/>
              <w:ind w:left="0" w:firstLine="0"/>
              <w:rPr>
                <w:szCs w:val="22"/>
              </w:rPr>
            </w:pPr>
            <w:r>
              <w:rPr>
                <w:szCs w:val="22"/>
                <w:lang w:val="en-US"/>
              </w:rPr>
              <w:t>Grau pleno de atendimento (2,0</w:t>
            </w:r>
            <w:r>
              <w:rPr>
                <w:spacing w:val="-3"/>
                <w:szCs w:val="22"/>
                <w:lang w:val="en-US"/>
              </w:rPr>
              <w:t xml:space="preserve"> </w:t>
            </w:r>
            <w:r>
              <w:rPr>
                <w:szCs w:val="22"/>
                <w:lang w:val="en-US"/>
              </w:rPr>
              <w:t>pontos)</w:t>
            </w:r>
          </w:p>
          <w:p w:rsidR="00630581" w:rsidRDefault="00C74C10">
            <w:pPr>
              <w:pStyle w:val="TableParagraph"/>
              <w:numPr>
                <w:ilvl w:val="0"/>
                <w:numId w:val="8"/>
              </w:numPr>
              <w:tabs>
                <w:tab w:val="left" w:pos="185"/>
              </w:tabs>
              <w:spacing w:before="60" w:after="60"/>
              <w:ind w:left="0" w:firstLine="0"/>
              <w:rPr>
                <w:szCs w:val="22"/>
              </w:rPr>
            </w:pPr>
            <w:r>
              <w:rPr>
                <w:szCs w:val="22"/>
                <w:lang w:val="en-US"/>
              </w:rPr>
              <w:t>Grau satisfatório de atendimento (1,0</w:t>
            </w:r>
            <w:r>
              <w:rPr>
                <w:spacing w:val="-3"/>
                <w:szCs w:val="22"/>
                <w:lang w:val="en-US"/>
              </w:rPr>
              <w:t xml:space="preserve"> </w:t>
            </w:r>
            <w:r>
              <w:rPr>
                <w:szCs w:val="22"/>
                <w:lang w:val="en-US"/>
              </w:rPr>
              <w:t>pontos)</w:t>
            </w:r>
          </w:p>
          <w:p w:rsidR="00630581" w:rsidRDefault="00C74C10">
            <w:pPr>
              <w:pStyle w:val="TableParagraph"/>
              <w:numPr>
                <w:ilvl w:val="0"/>
                <w:numId w:val="8"/>
              </w:numPr>
              <w:tabs>
                <w:tab w:val="left" w:pos="250"/>
              </w:tabs>
              <w:spacing w:before="60" w:after="60"/>
              <w:ind w:right="140" w:firstLine="0"/>
              <w:rPr>
                <w:szCs w:val="22"/>
              </w:rPr>
            </w:pPr>
            <w:r>
              <w:rPr>
                <w:szCs w:val="22"/>
              </w:rPr>
              <w:t xml:space="preserve">O não atendimento </w:t>
            </w:r>
            <w:r>
              <w:rPr>
                <w:szCs w:val="22"/>
              </w:rPr>
              <w:t>ou o atendimento insatisfatório (0,0).</w:t>
            </w:r>
          </w:p>
          <w:p w:rsidR="00630581" w:rsidRDefault="00C74C10">
            <w:pPr>
              <w:pStyle w:val="TableParagraph"/>
              <w:spacing w:before="60" w:after="60"/>
              <w:ind w:left="57" w:right="140"/>
              <w:rPr>
                <w:szCs w:val="22"/>
              </w:rPr>
            </w:pPr>
            <w:r>
              <w:rPr>
                <w:szCs w:val="22"/>
              </w:rPr>
              <w:t>OBS.: A atribuição de nota “zero” neste critério implica eliminação 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szCs w:val="22"/>
              </w:rPr>
            </w:pPr>
            <w:r>
              <w:rPr>
                <w:szCs w:val="22"/>
              </w:rPr>
              <w:t>2,0</w:t>
            </w:r>
          </w:p>
        </w:tc>
      </w:tr>
      <w:tr w:rsidR="00630581">
        <w:trPr>
          <w:trHeight w:val="2222"/>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146" w:right="292"/>
              <w:rPr>
                <w:szCs w:val="22"/>
              </w:rPr>
            </w:pPr>
            <w:r>
              <w:rPr>
                <w:szCs w:val="22"/>
              </w:rPr>
              <w:t>(B) Adequação da proposta aos objetivos do objeto propos</w:t>
            </w:r>
            <w:r>
              <w:rPr>
                <w:szCs w:val="22"/>
              </w:rPr>
              <w:t>to pelo CAU/PR</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numPr>
                <w:ilvl w:val="0"/>
                <w:numId w:val="7"/>
              </w:numPr>
              <w:tabs>
                <w:tab w:val="left" w:pos="185"/>
              </w:tabs>
              <w:spacing w:before="60" w:after="60"/>
              <w:ind w:left="0" w:firstLine="0"/>
              <w:rPr>
                <w:szCs w:val="22"/>
              </w:rPr>
            </w:pPr>
            <w:r>
              <w:rPr>
                <w:szCs w:val="22"/>
                <w:lang w:val="en-US"/>
              </w:rPr>
              <w:t>Grau pleno de adequação</w:t>
            </w:r>
            <w:r>
              <w:rPr>
                <w:spacing w:val="-5"/>
                <w:szCs w:val="22"/>
                <w:lang w:val="en-US"/>
              </w:rPr>
              <w:t xml:space="preserve"> </w:t>
            </w:r>
            <w:r>
              <w:rPr>
                <w:szCs w:val="22"/>
                <w:lang w:val="en-US"/>
              </w:rPr>
              <w:t>(2,0)</w:t>
            </w:r>
          </w:p>
          <w:p w:rsidR="00630581" w:rsidRDefault="00C74C10">
            <w:pPr>
              <w:pStyle w:val="TableParagraph"/>
              <w:numPr>
                <w:ilvl w:val="0"/>
                <w:numId w:val="7"/>
              </w:numPr>
              <w:tabs>
                <w:tab w:val="left" w:pos="185"/>
              </w:tabs>
              <w:spacing w:before="60" w:after="60"/>
              <w:ind w:left="0" w:firstLine="0"/>
              <w:rPr>
                <w:szCs w:val="22"/>
              </w:rPr>
            </w:pPr>
            <w:r>
              <w:rPr>
                <w:szCs w:val="22"/>
                <w:lang w:val="en-US"/>
              </w:rPr>
              <w:t>Grau satisfatório de adequação</w:t>
            </w:r>
            <w:r>
              <w:rPr>
                <w:spacing w:val="-3"/>
                <w:szCs w:val="22"/>
                <w:lang w:val="en-US"/>
              </w:rPr>
              <w:t xml:space="preserve"> </w:t>
            </w:r>
            <w:r>
              <w:rPr>
                <w:szCs w:val="22"/>
                <w:lang w:val="en-US"/>
              </w:rPr>
              <w:t>(1,0)</w:t>
            </w:r>
          </w:p>
          <w:p w:rsidR="00630581" w:rsidRDefault="00C74C10">
            <w:pPr>
              <w:pStyle w:val="TableParagraph"/>
              <w:numPr>
                <w:ilvl w:val="0"/>
                <w:numId w:val="7"/>
              </w:numPr>
              <w:tabs>
                <w:tab w:val="left" w:pos="207"/>
              </w:tabs>
              <w:spacing w:before="60" w:after="60"/>
              <w:ind w:right="140" w:firstLine="0"/>
              <w:rPr>
                <w:szCs w:val="22"/>
              </w:rPr>
            </w:pPr>
            <w:r>
              <w:rPr>
                <w:szCs w:val="22"/>
                <w:lang w:val="en-US"/>
              </w:rPr>
              <w:t>O não atendimento ou o atendimento insatisfatório do requisito de adequação</w:t>
            </w:r>
            <w:r>
              <w:rPr>
                <w:spacing w:val="-2"/>
                <w:szCs w:val="22"/>
                <w:lang w:val="en-US"/>
              </w:rPr>
              <w:t xml:space="preserve"> </w:t>
            </w:r>
            <w:r>
              <w:rPr>
                <w:szCs w:val="22"/>
                <w:lang w:val="en-US"/>
              </w:rPr>
              <w:t>(0,0).</w:t>
            </w:r>
          </w:p>
          <w:p w:rsidR="00630581" w:rsidRDefault="00C74C10">
            <w:pPr>
              <w:pStyle w:val="TableParagraph"/>
              <w:spacing w:before="60" w:after="60"/>
              <w:ind w:left="57" w:right="136"/>
              <w:rPr>
                <w:szCs w:val="22"/>
              </w:rPr>
            </w:pPr>
            <w:r>
              <w:rPr>
                <w:szCs w:val="22"/>
                <w:lang w:val="en-US"/>
              </w:rPr>
              <w:t xml:space="preserve">OBS.: A atribuição de nota “zero” neste critério implica a eliminação da proposta, por força do </w:t>
            </w:r>
            <w:r>
              <w:rPr>
                <w:b/>
                <w:szCs w:val="22"/>
                <w:lang w:val="en-US"/>
              </w:rPr>
              <w:t xml:space="preserve">caput </w:t>
            </w:r>
            <w:r>
              <w:rPr>
                <w:szCs w:val="22"/>
                <w:lang w:val="en-US"/>
              </w:rPr>
              <w:t>do art. 27 da Lei nº 13.019, de 2014, c/c art. 9º,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szCs w:val="22"/>
              </w:rPr>
            </w:pPr>
            <w:r>
              <w:rPr>
                <w:szCs w:val="22"/>
              </w:rPr>
              <w:t>2,0</w:t>
            </w:r>
          </w:p>
        </w:tc>
      </w:tr>
      <w:tr w:rsidR="00630581">
        <w:trPr>
          <w:trHeight w:val="1858"/>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146" w:right="18"/>
              <w:rPr>
                <w:szCs w:val="22"/>
              </w:rPr>
            </w:pPr>
            <w:r>
              <w:rPr>
                <w:szCs w:val="22"/>
              </w:rPr>
              <w:t>(C) Descrição da realidade objeto da parceria e do ne</w:t>
            </w:r>
            <w:r>
              <w:rPr>
                <w:szCs w:val="22"/>
              </w:rPr>
              <w:t>xo entre essa realidade e o projeto proposto</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numPr>
                <w:ilvl w:val="0"/>
                <w:numId w:val="6"/>
              </w:numPr>
              <w:tabs>
                <w:tab w:val="left" w:pos="185"/>
              </w:tabs>
              <w:spacing w:before="60" w:after="60"/>
              <w:ind w:left="0" w:firstLine="0"/>
              <w:rPr>
                <w:szCs w:val="22"/>
              </w:rPr>
            </w:pPr>
            <w:r>
              <w:rPr>
                <w:szCs w:val="22"/>
                <w:lang w:val="en-US"/>
              </w:rPr>
              <w:t>Grau pleno da descrição</w:t>
            </w:r>
            <w:r>
              <w:rPr>
                <w:spacing w:val="-5"/>
                <w:szCs w:val="22"/>
                <w:lang w:val="en-US"/>
              </w:rPr>
              <w:t xml:space="preserve"> </w:t>
            </w:r>
            <w:r>
              <w:rPr>
                <w:szCs w:val="22"/>
                <w:lang w:val="en-US"/>
              </w:rPr>
              <w:t>(2,0)</w:t>
            </w:r>
          </w:p>
          <w:p w:rsidR="00630581" w:rsidRDefault="00C74C10">
            <w:pPr>
              <w:pStyle w:val="TableParagraph"/>
              <w:numPr>
                <w:ilvl w:val="0"/>
                <w:numId w:val="6"/>
              </w:numPr>
              <w:tabs>
                <w:tab w:val="left" w:pos="185"/>
              </w:tabs>
              <w:spacing w:before="60" w:after="60"/>
              <w:ind w:left="0" w:firstLine="0"/>
              <w:rPr>
                <w:szCs w:val="22"/>
              </w:rPr>
            </w:pPr>
            <w:r>
              <w:rPr>
                <w:szCs w:val="22"/>
                <w:lang w:val="en-US"/>
              </w:rPr>
              <w:t>Grau satisfatório da descrição</w:t>
            </w:r>
            <w:r>
              <w:rPr>
                <w:spacing w:val="-1"/>
                <w:szCs w:val="22"/>
                <w:lang w:val="en-US"/>
              </w:rPr>
              <w:t xml:space="preserve"> </w:t>
            </w:r>
            <w:r>
              <w:rPr>
                <w:szCs w:val="22"/>
                <w:lang w:val="en-US"/>
              </w:rPr>
              <w:t>(1,0)</w:t>
            </w:r>
          </w:p>
          <w:p w:rsidR="00630581" w:rsidRDefault="00C74C10">
            <w:pPr>
              <w:pStyle w:val="TableParagraph"/>
              <w:numPr>
                <w:ilvl w:val="0"/>
                <w:numId w:val="6"/>
              </w:numPr>
              <w:tabs>
                <w:tab w:val="left" w:pos="250"/>
              </w:tabs>
              <w:spacing w:before="60" w:after="60"/>
              <w:ind w:right="140" w:firstLine="0"/>
              <w:rPr>
                <w:szCs w:val="22"/>
              </w:rPr>
            </w:pPr>
            <w:r>
              <w:rPr>
                <w:szCs w:val="22"/>
              </w:rPr>
              <w:t>O não atendimento ou o atendimento insatisfatório (0,0).</w:t>
            </w:r>
          </w:p>
          <w:p w:rsidR="00630581" w:rsidRDefault="00C74C10">
            <w:pPr>
              <w:pStyle w:val="TableParagraph"/>
              <w:spacing w:before="60" w:after="60"/>
              <w:ind w:left="57" w:right="139"/>
              <w:rPr>
                <w:szCs w:val="22"/>
              </w:rPr>
            </w:pPr>
            <w:r>
              <w:rPr>
                <w:szCs w:val="22"/>
              </w:rPr>
              <w:t xml:space="preserve">OBS.: A atribuição de nota “zero” neste critério implica eliminação da proposta, por </w:t>
            </w:r>
            <w:r>
              <w:rPr>
                <w:szCs w:val="22"/>
              </w:rPr>
              <w:t>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szCs w:val="22"/>
              </w:rPr>
            </w:pPr>
            <w:r>
              <w:rPr>
                <w:szCs w:val="22"/>
              </w:rPr>
              <w:t>2,0</w:t>
            </w:r>
          </w:p>
        </w:tc>
      </w:tr>
      <w:tr w:rsidR="00630581">
        <w:trPr>
          <w:trHeight w:val="1066"/>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146" w:right="318"/>
              <w:rPr>
                <w:szCs w:val="22"/>
              </w:rPr>
            </w:pPr>
            <w:r>
              <w:rPr>
                <w:szCs w:val="22"/>
              </w:rPr>
              <w:t>(D) Clareza e coerência na apresentação do projeto</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numPr>
                <w:ilvl w:val="0"/>
                <w:numId w:val="10"/>
              </w:numPr>
              <w:tabs>
                <w:tab w:val="left" w:pos="185"/>
              </w:tabs>
              <w:spacing w:before="60" w:after="60"/>
              <w:ind w:left="0" w:firstLine="0"/>
              <w:rPr>
                <w:szCs w:val="22"/>
              </w:rPr>
            </w:pPr>
            <w:r>
              <w:rPr>
                <w:szCs w:val="22"/>
                <w:lang w:val="en-US"/>
              </w:rPr>
              <w:t>Grau pleno da descrição</w:t>
            </w:r>
            <w:r>
              <w:rPr>
                <w:spacing w:val="-5"/>
                <w:szCs w:val="22"/>
                <w:lang w:val="en-US"/>
              </w:rPr>
              <w:t xml:space="preserve"> </w:t>
            </w:r>
            <w:r>
              <w:rPr>
                <w:szCs w:val="22"/>
                <w:lang w:val="en-US"/>
              </w:rPr>
              <w:t>(2,0)</w:t>
            </w:r>
          </w:p>
          <w:p w:rsidR="00630581" w:rsidRDefault="00C74C10">
            <w:pPr>
              <w:pStyle w:val="TableParagraph"/>
              <w:numPr>
                <w:ilvl w:val="0"/>
                <w:numId w:val="10"/>
              </w:numPr>
              <w:tabs>
                <w:tab w:val="left" w:pos="185"/>
              </w:tabs>
              <w:spacing w:before="60" w:after="60"/>
              <w:ind w:left="0" w:firstLine="0"/>
              <w:rPr>
                <w:szCs w:val="22"/>
              </w:rPr>
            </w:pPr>
            <w:r>
              <w:rPr>
                <w:szCs w:val="22"/>
                <w:lang w:val="en-US"/>
              </w:rPr>
              <w:t>Grau satisfatório da descrição</w:t>
            </w:r>
            <w:r>
              <w:rPr>
                <w:spacing w:val="-1"/>
                <w:szCs w:val="22"/>
                <w:lang w:val="en-US"/>
              </w:rPr>
              <w:t xml:space="preserve"> </w:t>
            </w:r>
            <w:r>
              <w:rPr>
                <w:szCs w:val="22"/>
                <w:lang w:val="en-US"/>
              </w:rPr>
              <w:t>(1,0)</w:t>
            </w:r>
          </w:p>
          <w:p w:rsidR="00630581" w:rsidRDefault="00C74C10">
            <w:pPr>
              <w:pStyle w:val="TableParagraph"/>
              <w:numPr>
                <w:ilvl w:val="0"/>
                <w:numId w:val="10"/>
              </w:numPr>
              <w:tabs>
                <w:tab w:val="left" w:pos="250"/>
              </w:tabs>
              <w:spacing w:before="60" w:after="60"/>
              <w:ind w:right="140" w:firstLine="0"/>
              <w:rPr>
                <w:szCs w:val="22"/>
              </w:rPr>
            </w:pPr>
            <w:r>
              <w:rPr>
                <w:szCs w:val="22"/>
              </w:rPr>
              <w:t>O não atendimento ou o atendimento 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szCs w:val="22"/>
              </w:rPr>
            </w:pPr>
            <w:r>
              <w:rPr>
                <w:szCs w:val="22"/>
              </w:rPr>
              <w:t>2,0</w:t>
            </w:r>
          </w:p>
        </w:tc>
      </w:tr>
      <w:tr w:rsidR="00630581">
        <w:trPr>
          <w:trHeight w:val="786"/>
        </w:trPr>
        <w:tc>
          <w:tcPr>
            <w:tcW w:w="269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165"/>
              <w:rPr>
                <w:szCs w:val="22"/>
              </w:rPr>
            </w:pPr>
            <w:r>
              <w:rPr>
                <w:szCs w:val="22"/>
              </w:rPr>
              <w:t xml:space="preserve">(E) </w:t>
            </w:r>
            <w:r>
              <w:rPr>
                <w:szCs w:val="22"/>
              </w:rPr>
              <w:t>Relevância do projeto para o desenvolvimento da arquitetura e urbanismo</w:t>
            </w:r>
          </w:p>
        </w:tc>
        <w:tc>
          <w:tcPr>
            <w:tcW w:w="5244"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57"/>
              <w:rPr>
                <w:szCs w:val="22"/>
              </w:rPr>
            </w:pPr>
            <w:r>
              <w:rPr>
                <w:szCs w:val="22"/>
              </w:rPr>
              <w:t>- Grau pleno da descrição (2,0)</w:t>
            </w:r>
          </w:p>
          <w:p w:rsidR="00630581" w:rsidRDefault="00C74C10">
            <w:pPr>
              <w:pStyle w:val="TableParagraph"/>
              <w:numPr>
                <w:ilvl w:val="0"/>
                <w:numId w:val="9"/>
              </w:numPr>
              <w:tabs>
                <w:tab w:val="left" w:pos="185"/>
              </w:tabs>
              <w:spacing w:before="60" w:after="60"/>
              <w:ind w:hanging="127"/>
              <w:rPr>
                <w:szCs w:val="22"/>
              </w:rPr>
            </w:pPr>
            <w:r>
              <w:rPr>
                <w:szCs w:val="22"/>
                <w:lang w:val="en-US"/>
              </w:rPr>
              <w:t>Grau satisfatório da descrição</w:t>
            </w:r>
            <w:r>
              <w:rPr>
                <w:spacing w:val="-2"/>
                <w:szCs w:val="22"/>
                <w:lang w:val="en-US"/>
              </w:rPr>
              <w:t xml:space="preserve"> </w:t>
            </w:r>
            <w:r>
              <w:rPr>
                <w:szCs w:val="22"/>
                <w:lang w:val="en-US"/>
              </w:rPr>
              <w:t>(1,0)</w:t>
            </w:r>
          </w:p>
          <w:p w:rsidR="00630581" w:rsidRDefault="00C74C10">
            <w:pPr>
              <w:pStyle w:val="TableParagraph"/>
              <w:numPr>
                <w:ilvl w:val="0"/>
                <w:numId w:val="9"/>
              </w:numPr>
              <w:spacing w:before="60" w:after="60"/>
              <w:rPr>
                <w:szCs w:val="22"/>
              </w:rPr>
            </w:pPr>
            <w:r>
              <w:rPr>
                <w:szCs w:val="22"/>
                <w:lang w:val="en-US"/>
              </w:rPr>
              <w:t>O não atendimento ou o atendimento</w:t>
            </w:r>
            <w:r>
              <w:rPr>
                <w:spacing w:val="45"/>
                <w:szCs w:val="22"/>
                <w:lang w:val="en-US"/>
              </w:rPr>
              <w:t xml:space="preserve"> </w:t>
            </w:r>
            <w:r>
              <w:rPr>
                <w:szCs w:val="22"/>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szCs w:val="22"/>
              </w:rPr>
            </w:pPr>
            <w:r>
              <w:rPr>
                <w:szCs w:val="22"/>
              </w:rPr>
              <w:t>2,0</w:t>
            </w:r>
          </w:p>
        </w:tc>
      </w:tr>
      <w:tr w:rsidR="00630581">
        <w:trPr>
          <w:trHeight w:val="376"/>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ind w:left="57"/>
              <w:rPr>
                <w:b/>
                <w:szCs w:val="22"/>
              </w:rPr>
            </w:pPr>
            <w:r>
              <w:rPr>
                <w:b/>
                <w:szCs w:val="22"/>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rsidR="00630581" w:rsidRDefault="00C74C10">
            <w:pPr>
              <w:pStyle w:val="TableParagraph"/>
              <w:spacing w:before="60" w:after="60"/>
              <w:jc w:val="center"/>
              <w:rPr>
                <w:b/>
                <w:szCs w:val="22"/>
              </w:rPr>
            </w:pPr>
            <w:r>
              <w:rPr>
                <w:b/>
                <w:szCs w:val="22"/>
              </w:rPr>
              <w:t>10,0</w:t>
            </w:r>
          </w:p>
        </w:tc>
      </w:tr>
    </w:tbl>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A falsidade de </w:t>
      </w:r>
      <w:r>
        <w:rPr>
          <w:rFonts w:ascii="Times New Roman" w:hAnsi="Times New Roman"/>
          <w:sz w:val="22"/>
          <w:szCs w:val="22"/>
        </w:rPr>
        <w:t>informações nas propostas deverá acarretar a eliminação da proposta, podendo ensejar, ainda, a aplicação de sanção administrativa contra a Organização da Sociedade Civil proponente e comunicação do fato às autoridades competentes, inclusive para apuração d</w:t>
      </w:r>
      <w:r>
        <w:rPr>
          <w:rFonts w:ascii="Times New Roman" w:hAnsi="Times New Roman"/>
          <w:sz w:val="22"/>
          <w:szCs w:val="22"/>
        </w:rPr>
        <w:t>o cometimento de eventual crime.</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lastRenderedPageBreak/>
        <w:t>Serão desclassificados nesta etapa, as propostas:</w:t>
      </w:r>
    </w:p>
    <w:p w:rsidR="00630581" w:rsidRDefault="00C74C10">
      <w:pPr>
        <w:pStyle w:val="PargrafodaLista"/>
        <w:numPr>
          <w:ilvl w:val="0"/>
          <w:numId w:val="11"/>
        </w:numPr>
        <w:tabs>
          <w:tab w:val="left" w:pos="732"/>
        </w:tabs>
        <w:suppressAutoHyphens w:val="0"/>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rsidR="00630581" w:rsidRDefault="00C74C10">
      <w:pPr>
        <w:pStyle w:val="PargrafodaLista"/>
        <w:numPr>
          <w:ilvl w:val="0"/>
          <w:numId w:val="11"/>
        </w:numPr>
        <w:tabs>
          <w:tab w:val="left" w:pos="758"/>
        </w:tabs>
        <w:suppressAutoHyphens w:val="0"/>
        <w:ind w:left="1134" w:hanging="567"/>
        <w:jc w:val="both"/>
        <w:rPr>
          <w:rFonts w:ascii="Times New Roman" w:hAnsi="Times New Roman"/>
          <w:sz w:val="22"/>
          <w:szCs w:val="22"/>
        </w:rPr>
      </w:pPr>
      <w:r>
        <w:rPr>
          <w:rFonts w:ascii="Times New Roman" w:hAnsi="Times New Roman"/>
          <w:sz w:val="22"/>
          <w:szCs w:val="22"/>
        </w:rPr>
        <w:t>que recebam nota “zero” nos critérios de julgamento (A), (B) ou (C); ou ainda que não contenham, no mínimo, as</w:t>
      </w:r>
      <w:r>
        <w:rPr>
          <w:rFonts w:ascii="Times New Roman" w:hAnsi="Times New Roman"/>
          <w:sz w:val="22"/>
          <w:szCs w:val="22"/>
        </w:rPr>
        <w:t xml:space="preserve"> seguintes informações: a descrição da realidade objeto da parceria e o nexo com o projeto proposto; as ações a serem executadas, as metas a serem atingidas e os indicadores que aferirão o cumprimento das metas; os prazos para a execução das ações e para o</w:t>
      </w:r>
      <w:r>
        <w:rPr>
          <w:rFonts w:ascii="Times New Roman" w:hAnsi="Times New Roman"/>
          <w:sz w:val="22"/>
          <w:szCs w:val="22"/>
        </w:rPr>
        <w:t xml:space="preserve">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w:t>
      </w:r>
      <w:r>
        <w:rPr>
          <w:rFonts w:ascii="Times New Roman" w:hAnsi="Times New Roman"/>
          <w:sz w:val="22"/>
          <w:szCs w:val="22"/>
        </w:rPr>
        <w:t>a a média aritmética das notas lançadas por cada um dos membros da Comissão de Seleção, em relação a cada um dos critérios de julgamento.</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No caso de empate entre duas ou mais propostas, o desempate será feito com base na maior pontuação obtida no critério </w:t>
      </w:r>
      <w:r>
        <w:rPr>
          <w:rFonts w:ascii="Times New Roman" w:hAnsi="Times New Roman"/>
          <w:sz w:val="22"/>
          <w:szCs w:val="22"/>
        </w:rPr>
        <w:t>de julgamento (A). Persistindo a situação de igualdade, o desempate será feito com base na maior pontuação obtida, sucessivamente, nos critérios de julgamento (B) e (C). Caso essas regras não solucionem o empate, será considerada vencedora a Organização da</w:t>
      </w:r>
      <w:r>
        <w:rPr>
          <w:rFonts w:ascii="Times New Roman" w:hAnsi="Times New Roman"/>
          <w:sz w:val="22"/>
          <w:szCs w:val="22"/>
        </w:rPr>
        <w:t xml:space="preserve"> Sociedade Civil com mais tempo de constituição e, em último caso, a questão será decidida por sorteio.</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b/>
          <w:sz w:val="22"/>
          <w:szCs w:val="22"/>
          <w:u w:val="single"/>
        </w:rPr>
        <w:t xml:space="preserve">A seleção da proposta não garante a formalização do Termo de Fomento, não gera obrigação de parceria ou desembolso financeiro por parte do CAU/PR, seja </w:t>
      </w:r>
      <w:r>
        <w:rPr>
          <w:rFonts w:ascii="Times New Roman" w:hAnsi="Times New Roman"/>
          <w:b/>
          <w:sz w:val="22"/>
          <w:szCs w:val="22"/>
          <w:u w:val="single"/>
        </w:rPr>
        <w:t>pelo valor total solicitado na proposta ou por valores que possam ser atribuídos como custo de apresentação do projeto.</w:t>
      </w:r>
    </w:p>
    <w:p w:rsidR="00630581" w:rsidRDefault="00630581">
      <w:pPr>
        <w:pStyle w:val="PargrafodaLista"/>
        <w:suppressAutoHyphens w:val="0"/>
        <w:spacing w:before="121"/>
        <w:ind w:left="567" w:right="106"/>
        <w:jc w:val="both"/>
        <w:rPr>
          <w:rFonts w:ascii="Times New Roman" w:hAnsi="Times New Roman"/>
          <w:b/>
          <w:sz w:val="22"/>
          <w:szCs w:val="22"/>
          <w:u w:val="single"/>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RECURSO CONTRA A SELEÇÃO DAS PROPOSTAS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w:t>
      </w:r>
      <w:r>
        <w:rPr>
          <w:rFonts w:ascii="Times New Roman" w:hAnsi="Times New Roman"/>
          <w:sz w:val="22"/>
          <w:szCs w:val="22"/>
        </w:rPr>
        <w:t>R.</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rsidR="00630581" w:rsidRDefault="00C74C10">
      <w:pPr>
        <w:pStyle w:val="PargrafodaLista"/>
        <w:numPr>
          <w:ilvl w:val="2"/>
          <w:numId w:val="3"/>
        </w:numPr>
        <w:suppressAutoHyphens w:val="0"/>
        <w:spacing w:before="120"/>
        <w:ind w:left="1134" w:hanging="567"/>
        <w:jc w:val="both"/>
        <w:rPr>
          <w:rFonts w:ascii="Times New Roman" w:hAnsi="Times New Roman"/>
          <w:sz w:val="22"/>
          <w:szCs w:val="22"/>
        </w:rPr>
      </w:pPr>
      <w:r>
        <w:rPr>
          <w:noProof/>
          <w:lang w:eastAsia="pt-BR"/>
        </w:rPr>
        <mc:AlternateContent>
          <mc:Choice Requires="wps">
            <w:drawing>
              <wp:anchor distT="19050" distB="0" distL="3175" distR="112395" simplePos="0" relativeHeight="26" behindDoc="0" locked="0" layoutInCell="0" allowOverlap="1" wp14:anchorId="6406E50D">
                <wp:simplePos x="0" y="0"/>
                <wp:positionH relativeFrom="margin">
                  <wp:align>left</wp:align>
                </wp:positionH>
                <wp:positionV relativeFrom="paragraph">
                  <wp:posOffset>584200</wp:posOffset>
                </wp:positionV>
                <wp:extent cx="5756910" cy="1613535"/>
                <wp:effectExtent l="0" t="0" r="10160" b="13335"/>
                <wp:wrapTopAndBottom/>
                <wp:docPr id="3" name="Caixa de texto 2"/>
                <wp:cNvGraphicFramePr/>
                <a:graphic xmlns:a="http://schemas.openxmlformats.org/drawingml/2006/main">
                  <a:graphicData uri="http://schemas.microsoft.com/office/word/2010/wordprocessingShape">
                    <wps:wsp>
                      <wps:cNvSpPr/>
                      <wps:spPr>
                        <a:xfrm>
                          <a:off x="0" y="0"/>
                          <a:ext cx="5756400" cy="161280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630581" w:rsidRDefault="00C74C10">
                            <w:pPr>
                              <w:pStyle w:val="Contedodoquadro"/>
                              <w:spacing w:before="240"/>
                              <w:ind w:left="200"/>
                              <w:contextualSpacing/>
                              <w:rPr>
                                <w:b/>
                                <w:sz w:val="22"/>
                              </w:rPr>
                            </w:pPr>
                            <w:r>
                              <w:rPr>
                                <w:b/>
                                <w:color w:val="000000"/>
                                <w:sz w:val="22"/>
                              </w:rPr>
                              <w:t xml:space="preserve">CONSELHO DE ARQUITETURA E URBANISMO DE PARANÁ </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b/>
                                <w:color w:val="000000"/>
                                <w:sz w:val="22"/>
                              </w:rPr>
                              <w:t xml:space="preserve">EDITAL DE CHAMAMENTO PÚBLICO N° </w:t>
                            </w:r>
                            <w:r>
                              <w:rPr>
                                <w:b/>
                                <w:color w:val="000000"/>
                                <w:sz w:val="22"/>
                              </w:rPr>
                              <w:t>002/2021</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color w:val="000000"/>
                                <w:sz w:val="22"/>
                                <w:u w:val="single"/>
                              </w:rPr>
                              <w:t>RECURSO CONTRA A SELEÇÃO DE PROPOSTAS</w:t>
                            </w:r>
                          </w:p>
                          <w:p w:rsidR="00630581" w:rsidRDefault="00630581">
                            <w:pPr>
                              <w:pStyle w:val="Corpodetexto"/>
                              <w:spacing w:before="0"/>
                              <w:ind w:left="200"/>
                              <w:contextualSpacing/>
                              <w:rPr>
                                <w:sz w:val="20"/>
                              </w:rPr>
                            </w:pPr>
                          </w:p>
                          <w:p w:rsidR="00630581" w:rsidRDefault="00C74C10">
                            <w:pPr>
                              <w:pStyle w:val="Corpodetexto"/>
                              <w:spacing w:before="0"/>
                              <w:ind w:left="200"/>
                              <w:contextualSpacing/>
                              <w:rPr>
                                <w:color w:val="000000"/>
                              </w:rPr>
                            </w:pPr>
                            <w:r>
                              <w:rPr>
                                <w:color w:val="000000"/>
                              </w:rPr>
                              <w:t>Av. Nossa Senhora da Luz, 2530, Alto da XV</w:t>
                            </w:r>
                          </w:p>
                          <w:p w:rsidR="00630581" w:rsidRDefault="00C74C10">
                            <w:pPr>
                              <w:pStyle w:val="Corpodetexto"/>
                              <w:spacing w:before="0"/>
                              <w:ind w:left="200"/>
                              <w:contextualSpacing/>
                              <w:rPr>
                                <w:color w:val="000000"/>
                              </w:rPr>
                            </w:pPr>
                            <w:r>
                              <w:rPr>
                                <w:color w:val="000000"/>
                              </w:rPr>
                              <w:t>CEP 80045-360</w:t>
                            </w:r>
                          </w:p>
                          <w:p w:rsidR="00630581" w:rsidRDefault="00C74C10">
                            <w:pPr>
                              <w:pStyle w:val="Corpodetexto"/>
                              <w:spacing w:before="0"/>
                              <w:ind w:left="200"/>
                              <w:contextualSpacing/>
                              <w:rPr>
                                <w:color w:val="000000"/>
                              </w:rPr>
                            </w:pPr>
                            <w:r>
                              <w:rPr>
                                <w:color w:val="000000"/>
                              </w:rPr>
                              <w:t>Curitiba, PR</w:t>
                            </w:r>
                          </w:p>
                        </w:txbxContent>
                      </wps:txbx>
                      <wps:bodyPr lIns="0" tIns="0" rIns="0" bIns="0" upright="1">
                        <a:noAutofit/>
                      </wps:bodyPr>
                    </wps:wsp>
                  </a:graphicData>
                </a:graphic>
              </wp:anchor>
            </w:drawing>
          </mc:Choice>
          <mc:Fallback>
            <w:pict>
              <v:rect id="shape_0" ID="Caixa de texto 2" path="m0,0l-2147483645,0l-2147483645,-2147483646l0,-2147483646xe" stroked="t" style="position:absolute;margin-left:0pt;margin-top:46pt;width:453.2pt;height:126.95pt;mso-wrap-style:square;v-text-anchor:top;mso-position-horizontal:left;mso-position-horizontal-relative:margin" wp14:anchorId="6406E50D">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sz w:val="22"/>
          <w:szCs w:val="22"/>
        </w:rPr>
        <w:t>O recurso deverá ser apresentado em envelope fechado, opaco e indevassável, obrigatoriamente identificados, via correios, mediante postag</w:t>
      </w:r>
      <w:r>
        <w:rPr>
          <w:rFonts w:ascii="Times New Roman" w:hAnsi="Times New Roman"/>
          <w:sz w:val="22"/>
          <w:szCs w:val="22"/>
        </w:rPr>
        <w:t>em com A.R. (Aviso de Recebimento), ou entregue pessoalmente na sede do Conselho, na seguinte forma:</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 Comissão de Seleção poderá reconsiderar o recurso ou encaminhá-lo à autoridade superior para decisão final.</w:t>
      </w:r>
    </w:p>
    <w:p w:rsidR="00630581" w:rsidRDefault="00C74C10">
      <w:pPr>
        <w:pStyle w:val="PargrafodaLista"/>
        <w:numPr>
          <w:ilvl w:val="2"/>
          <w:numId w:val="3"/>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Não caberá novo recurso da decisão final de q</w:t>
      </w:r>
      <w:r>
        <w:rPr>
          <w:rFonts w:ascii="Times New Roman" w:hAnsi="Times New Roman"/>
          <w:sz w:val="22"/>
          <w:szCs w:val="22"/>
        </w:rPr>
        <w:t>ue trata o item antecedente.</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w:t>
      </w:r>
      <w:r>
        <w:rPr>
          <w:rFonts w:ascii="Times New Roman" w:hAnsi="Times New Roman"/>
          <w:sz w:val="22"/>
          <w:szCs w:val="22"/>
        </w:rPr>
        <w:t>eleção, sendo o aviso desse último divulgado no sítio eletrônico do CAU/PR ou no Diário Oficial da União, nos termos da lei.</w:t>
      </w:r>
    </w:p>
    <w:p w:rsidR="00630581" w:rsidRDefault="00630581">
      <w:pPr>
        <w:pStyle w:val="PargrafodaLista"/>
        <w:suppressAutoHyphens w:val="0"/>
        <w:spacing w:before="121" w:line="264" w:lineRule="auto"/>
        <w:ind w:left="567" w:right="106"/>
        <w:jc w:val="both"/>
        <w:rPr>
          <w:rFonts w:ascii="Times New Roman" w:hAnsi="Times New Roman"/>
          <w:sz w:val="22"/>
          <w:szCs w:val="22"/>
        </w:rPr>
      </w:pPr>
    </w:p>
    <w:p w:rsidR="00630581" w:rsidRDefault="00C74C10">
      <w:pPr>
        <w:pStyle w:val="PargrafodaLista"/>
        <w:numPr>
          <w:ilvl w:val="0"/>
          <w:numId w:val="3"/>
        </w:numPr>
        <w:spacing w:before="121" w:line="264" w:lineRule="auto"/>
        <w:ind w:left="567" w:right="106" w:hanging="567"/>
        <w:jc w:val="both"/>
        <w:rPr>
          <w:rFonts w:ascii="Times New Roman" w:hAnsi="Times New Roman"/>
          <w:b/>
          <w:sz w:val="22"/>
          <w:szCs w:val="22"/>
        </w:rPr>
      </w:pPr>
      <w:r>
        <w:rPr>
          <w:rFonts w:ascii="Times New Roman" w:hAnsi="Times New Roman"/>
          <w:b/>
          <w:sz w:val="22"/>
          <w:szCs w:val="22"/>
        </w:rPr>
        <w:t>DA CONVOCAÇÃO PARA A APRESENTAÇÃO DOS PLANOS DE TRABALHO E DOCUMENTOS DE HABILITAÇÃO FINAL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Encerrado o Chamamento Público mediante</w:t>
      </w:r>
      <w:r>
        <w:rPr>
          <w:rFonts w:ascii="Times New Roman" w:hAnsi="Times New Roman"/>
          <w:sz w:val="22"/>
          <w:szCs w:val="22"/>
        </w:rPr>
        <w:t xml:space="preserve"> a seleção das propostas para a celebração de Termos de Fomento, as Organizações da Sociedade Civil, cujos projetos tiverem sido classificados, serão convocadas para, no prazo de 15 (quinze) dias, para apresentarem:</w:t>
      </w:r>
    </w:p>
    <w:p w:rsidR="00630581" w:rsidRDefault="00C74C10">
      <w:pPr>
        <w:pStyle w:val="PargrafodaLista"/>
        <w:numPr>
          <w:ilvl w:val="2"/>
          <w:numId w:val="3"/>
        </w:numPr>
        <w:suppressAutoHyphens w:val="0"/>
        <w:spacing w:line="264" w:lineRule="auto"/>
        <w:ind w:left="1361" w:hanging="794"/>
        <w:jc w:val="both"/>
        <w:rPr>
          <w:rFonts w:ascii="Times New Roman" w:hAnsi="Times New Roman"/>
          <w:sz w:val="22"/>
          <w:szCs w:val="22"/>
        </w:rPr>
      </w:pPr>
      <w:r>
        <w:rPr>
          <w:rFonts w:ascii="Times New Roman" w:hAnsi="Times New Roman"/>
          <w:sz w:val="22"/>
          <w:szCs w:val="22"/>
        </w:rPr>
        <w:t>Plano de Trabalho; e</w:t>
      </w:r>
    </w:p>
    <w:p w:rsidR="00630581" w:rsidRDefault="00C74C10">
      <w:pPr>
        <w:pStyle w:val="PargrafodaLista"/>
        <w:numPr>
          <w:ilvl w:val="2"/>
          <w:numId w:val="3"/>
        </w:numPr>
        <w:suppressAutoHyphens w:val="0"/>
        <w:spacing w:line="264" w:lineRule="auto"/>
        <w:ind w:left="1361" w:hanging="794"/>
        <w:jc w:val="both"/>
        <w:rPr>
          <w:rFonts w:ascii="Times New Roman" w:hAnsi="Times New Roman"/>
          <w:sz w:val="22"/>
          <w:szCs w:val="22"/>
        </w:rPr>
      </w:pPr>
      <w:r>
        <w:rPr>
          <w:rFonts w:ascii="Times New Roman" w:hAnsi="Times New Roman"/>
          <w:sz w:val="22"/>
          <w:szCs w:val="22"/>
        </w:rPr>
        <w:t>Documentos de Habil</w:t>
      </w:r>
      <w:r>
        <w:rPr>
          <w:rFonts w:ascii="Times New Roman" w:hAnsi="Times New Roman"/>
          <w:sz w:val="22"/>
          <w:szCs w:val="22"/>
        </w:rPr>
        <w:t>itação Final.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Entende-se que a convocação das entidades se dará, automaticamente, após julgamento dos recursos, com a publicação do aviso do Resultado Definitivo do Processo de Seleção no Diário Oficial da União – DOU, iniciando-se a contagem dos 15 (quinz</w:t>
      </w:r>
      <w:r>
        <w:rPr>
          <w:rFonts w:ascii="Times New Roman" w:hAnsi="Times New Roman"/>
          <w:sz w:val="22"/>
          <w:szCs w:val="22"/>
        </w:rPr>
        <w:t>e) dias para apresentação dos documentos a partir dessa data.</w:t>
      </w:r>
    </w:p>
    <w:p w:rsidR="00630581" w:rsidRDefault="00630581">
      <w:pPr>
        <w:pStyle w:val="PargrafodaLista"/>
        <w:suppressAutoHyphens w:val="0"/>
        <w:spacing w:before="121"/>
        <w:ind w:left="567" w:right="106"/>
        <w:jc w:val="both"/>
        <w:rPr>
          <w:rFonts w:ascii="Times New Roman" w:hAnsi="Times New Roman"/>
          <w:sz w:val="22"/>
          <w:szCs w:val="22"/>
        </w:rPr>
      </w:pPr>
    </w:p>
    <w:p w:rsidR="00630581" w:rsidRDefault="00C74C10">
      <w:pPr>
        <w:pStyle w:val="PargrafodaLista"/>
        <w:numPr>
          <w:ilvl w:val="0"/>
          <w:numId w:val="3"/>
        </w:numPr>
        <w:spacing w:before="121" w:line="264" w:lineRule="auto"/>
        <w:ind w:left="567" w:right="106" w:hanging="567"/>
        <w:jc w:val="both"/>
        <w:rPr>
          <w:rFonts w:ascii="Times New Roman" w:hAnsi="Times New Roman"/>
          <w:b/>
          <w:sz w:val="22"/>
          <w:szCs w:val="22"/>
        </w:rPr>
      </w:pPr>
      <w:r>
        <w:rPr>
          <w:rFonts w:ascii="Times New Roman" w:hAnsi="Times New Roman"/>
          <w:b/>
          <w:sz w:val="22"/>
          <w:szCs w:val="22"/>
        </w:rPr>
        <w:t>DA APRESENTAÇÃO DO PLANO DE TRABALHO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w:t>
      </w:r>
      <w:r>
        <w:rPr>
          <w:rFonts w:ascii="Times New Roman" w:hAnsi="Times New Roman"/>
          <w:sz w:val="22"/>
          <w:szCs w:val="22"/>
        </w:rPr>
        <w:t>orme Anexo II do presente Edital.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w:t>
      </w:r>
      <w:r>
        <w:rPr>
          <w:rFonts w:ascii="Times New Roman" w:hAnsi="Times New Roman"/>
          <w:sz w:val="22"/>
          <w:szCs w:val="22"/>
        </w:rPr>
        <w:t xml:space="preserve"> plano de trabalho deverá ser apresentado em uma única via, devidamente rubricada e assinada pela pessoa indicada no formulário, em papel timbrado da proponente e deverá vir acompanhada dos documentos necessários à comprovação dos requisitos constantes des</w:t>
      </w:r>
      <w:r>
        <w:rPr>
          <w:rFonts w:ascii="Times New Roman" w:hAnsi="Times New Roman"/>
          <w:sz w:val="22"/>
          <w:szCs w:val="22"/>
        </w:rPr>
        <w:t>te Edital.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b/>
          <w:sz w:val="22"/>
          <w:szCs w:val="22"/>
        </w:rPr>
      </w:pPr>
      <w:r>
        <w:rPr>
          <w:rFonts w:ascii="Times New Roman" w:hAnsi="Times New Roman"/>
          <w:b/>
          <w:sz w:val="22"/>
          <w:szCs w:val="22"/>
        </w:rPr>
        <w:t>O Plano de Trabalho deverá ser entregue em via ORIGINAL, devidamente assinado pelo responsável indicado no formulário.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w:t>
      </w:r>
      <w:r>
        <w:rPr>
          <w:rFonts w:ascii="Times New Roman" w:hAnsi="Times New Roman"/>
          <w:sz w:val="22"/>
          <w:szCs w:val="22"/>
        </w:rPr>
        <w:t>guintes elementos: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forma de execução das ações;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a definição </w:t>
      </w:r>
      <w:r>
        <w:rPr>
          <w:rFonts w:ascii="Times New Roman" w:hAnsi="Times New Roman"/>
          <w:sz w:val="22"/>
          <w:szCs w:val="22"/>
        </w:rPr>
        <w:t>dos indicadores, documentos e outros meios a serem utilizados para a aferição do cumprimento das metas;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w:t>
      </w:r>
      <w:r>
        <w:rPr>
          <w:rFonts w:ascii="Times New Roman" w:hAnsi="Times New Roman"/>
          <w:sz w:val="22"/>
          <w:szCs w:val="22"/>
        </w:rPr>
        <w:t>ão dos custos indiretos necessários à execução do objeto;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b/>
          <w:sz w:val="22"/>
          <w:szCs w:val="22"/>
        </w:rPr>
        <w:t xml:space="preserve">A previsão de receitas e despesas de que trata o item 11.3.5 deverá ser acompanhada de </w:t>
      </w:r>
      <w:r>
        <w:rPr>
          <w:rFonts w:ascii="Times New Roman" w:hAnsi="Times New Roman"/>
          <w:b/>
          <w:sz w:val="22"/>
          <w:szCs w:val="22"/>
          <w:u w:val="single"/>
        </w:rPr>
        <w:t>pesquisa de mercado</w:t>
      </w:r>
      <w:r>
        <w:rPr>
          <w:rFonts w:ascii="Times New Roman" w:hAnsi="Times New Roman"/>
          <w:b/>
          <w:sz w:val="22"/>
          <w:szCs w:val="22"/>
        </w:rPr>
        <w:t xml:space="preserve"> que comprove a prática dos preços mensurados, através de cotações, </w:t>
      </w:r>
      <w:r>
        <w:rPr>
          <w:rFonts w:ascii="Times New Roman" w:hAnsi="Times New Roman"/>
          <w:b/>
          <w:sz w:val="22"/>
          <w:szCs w:val="22"/>
        </w:rPr>
        <w:lastRenderedPageBreak/>
        <w:t>tabelas de preços de associações profissionais, publicações especializadas ou quai</w:t>
      </w:r>
      <w:r>
        <w:rPr>
          <w:rFonts w:ascii="Times New Roman" w:hAnsi="Times New Roman"/>
          <w:b/>
          <w:sz w:val="22"/>
          <w:szCs w:val="22"/>
        </w:rPr>
        <w:t>squer outras fontes de informação disponíveis ao público.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 do mesmo.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w:t>
      </w:r>
      <w:r>
        <w:rPr>
          <w:rFonts w:ascii="Times New Roman" w:hAnsi="Times New Roman"/>
          <w:sz w:val="22"/>
          <w:szCs w:val="22"/>
        </w:rPr>
        <w:t>omeada pela Administração do CAU/PR, poderá solicitar à OSC, as adequações necessárias em seu plano de trabalho de forma a ajustá-lo à proposta e ao presente Edital, a qual deverá ser realizada pela OSC, no prazo de 15 (quinze) dias, contados da data de re</w:t>
      </w:r>
      <w:r>
        <w:rPr>
          <w:rFonts w:ascii="Times New Roman" w:hAnsi="Times New Roman"/>
          <w:sz w:val="22"/>
          <w:szCs w:val="22"/>
        </w:rPr>
        <w:t>cebimento da solicitação.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w:t>
      </w:r>
      <w:r>
        <w:rPr>
          <w:rFonts w:ascii="Times New Roman" w:hAnsi="Times New Roman"/>
          <w:sz w:val="22"/>
          <w:szCs w:val="22"/>
        </w:rPr>
        <w:t>entos e viabilização de palestras.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rsidR="00630581" w:rsidRDefault="00630581">
      <w:pPr>
        <w:pStyle w:val="PargrafodaLista"/>
        <w:spacing w:before="121"/>
        <w:ind w:left="0" w:right="106"/>
        <w:jc w:val="both"/>
        <w:rPr>
          <w:rFonts w:ascii="Times New Roman" w:hAnsi="Times New Roman"/>
          <w:b/>
          <w:sz w:val="22"/>
          <w:szCs w:val="22"/>
        </w:rPr>
      </w:pPr>
    </w:p>
    <w:p w:rsidR="00630581" w:rsidRDefault="00C74C10">
      <w:pPr>
        <w:pStyle w:val="PargrafodaLista"/>
        <w:numPr>
          <w:ilvl w:val="0"/>
          <w:numId w:val="3"/>
        </w:numPr>
        <w:spacing w:before="121" w:line="264" w:lineRule="auto"/>
        <w:ind w:left="567" w:right="106" w:hanging="567"/>
        <w:jc w:val="both"/>
        <w:rPr>
          <w:rFonts w:ascii="Times New Roman" w:hAnsi="Times New Roman"/>
          <w:b/>
          <w:sz w:val="22"/>
          <w:szCs w:val="22"/>
        </w:rPr>
      </w:pPr>
      <w:r>
        <w:rPr>
          <w:rFonts w:ascii="Times New Roman" w:hAnsi="Times New Roman"/>
          <w:b/>
          <w:sz w:val="22"/>
          <w:szCs w:val="22"/>
        </w:rPr>
        <w:t>DA APRESENTAÇÃO DOS DOCUMENTOS DE HABILITAÇÃO FINAL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w:t>
      </w:r>
      <w:r>
        <w:rPr>
          <w:rFonts w:ascii="Times New Roman" w:hAnsi="Times New Roman"/>
          <w:sz w:val="22"/>
          <w:szCs w:val="22"/>
        </w:rPr>
        <w:t xml:space="preserve"> do chamamento público deverá apresentar, no mesmo prazo e concomitantemente com a apresentação do plano de trabalho, os seguintes documentos de habilitação final: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w:t>
      </w:r>
      <w:r>
        <w:rPr>
          <w:rFonts w:ascii="Times New Roman" w:hAnsi="Times New Roman"/>
          <w:sz w:val="22"/>
          <w:szCs w:val="22"/>
        </w:rPr>
        <w:t>etrônico oficial da Secretaria da Receita Federal do Brasil, para demonstrar que a organização da sociedade civil existe há, no mínimo, três anos com cadastro ativo;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w:t>
      </w:r>
      <w:r>
        <w:rPr>
          <w:rFonts w:ascii="Times New Roman" w:hAnsi="Times New Roman"/>
          <w:sz w:val="22"/>
          <w:szCs w:val="22"/>
        </w:rPr>
        <w:t>s no art. 33 da Lei nº 13.019, de 2014;</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w:t>
      </w:r>
      <w:r>
        <w:rPr>
          <w:rFonts w:ascii="Times New Roman" w:hAnsi="Times New Roman"/>
          <w:sz w:val="22"/>
          <w:szCs w:val="22"/>
        </w:rPr>
        <w:t xml:space="preserve"> órgão expedidor da carteira de identidade e número de registro no Cadastro de Pessoas Físicas - CPF de cada um deles;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w:t>
      </w:r>
      <w:r>
        <w:rPr>
          <w:rFonts w:ascii="Times New Roman" w:hAnsi="Times New Roman"/>
          <w:sz w:val="22"/>
          <w:szCs w:val="22"/>
        </w:rPr>
        <w:t xml:space="preserve"> quaisquer das vedações previstas no art. 39 da Lei nº 13.019, de 2014, as quais deverão estar descritas no documento, conforme o Anexo III do presente Edital;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w:t>
      </w:r>
      <w:r>
        <w:rPr>
          <w:rFonts w:ascii="Times New Roman" w:hAnsi="Times New Roman"/>
          <w:sz w:val="22"/>
          <w:szCs w:val="22"/>
        </w:rPr>
        <w:t xml:space="preserve"> dirigentes do CAU/BR ou dos CAU/UF, bem como seus cônjuges, companheiros ou parentes em linha reta até segundo grau, conforme o Anexo IV do presente Edital;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Comprovante de experiência prévia na realização do objeto da parceria ou de objeto de natureza </w:t>
      </w:r>
      <w:r>
        <w:rPr>
          <w:rFonts w:ascii="Times New Roman" w:hAnsi="Times New Roman"/>
          <w:sz w:val="22"/>
          <w:szCs w:val="22"/>
        </w:rPr>
        <w:t>semelhante de, no mínimo, um ano de capacidade técnica e operacional, podendo ser admitidos, sem prejuízo de outros:</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w:t>
      </w:r>
      <w:r>
        <w:rPr>
          <w:rFonts w:ascii="Times New Roman" w:hAnsi="Times New Roman"/>
          <w:sz w:val="22"/>
          <w:szCs w:val="22"/>
        </w:rPr>
        <w:t>es da sociedade civil;</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lastRenderedPageBreak/>
        <w:t>publicações, pesquisas e outras formas de produção de conhecimento realizadas pela organização da sociedade civil ou a respeito dela;</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currículos profissionais de integ</w:t>
      </w:r>
      <w:r>
        <w:rPr>
          <w:rFonts w:ascii="Times New Roman" w:hAnsi="Times New Roman"/>
          <w:sz w:val="22"/>
          <w:szCs w:val="22"/>
        </w:rPr>
        <w:t>rantes da organização da sociedade civil, sejam dirigentes, conselheiros, associados, cooperados, empregados, entre outros;</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w:t>
      </w:r>
      <w:r>
        <w:rPr>
          <w:rFonts w:ascii="Times New Roman" w:hAnsi="Times New Roman"/>
          <w:sz w:val="22"/>
          <w:szCs w:val="22"/>
        </w:rPr>
        <w:t>tureza semelhante, emitidas por órgãos públicos, instituições de ensino, redes, organizações da sociedade civil, movimentos sociais, empresas públicas ou privadas, conselhos, comissões ou comitês de políticas públicas; ou</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prêmios de relevância recebidos no</w:t>
      </w:r>
      <w:r>
        <w:rPr>
          <w:rFonts w:ascii="Times New Roman" w:hAnsi="Times New Roman"/>
          <w:sz w:val="22"/>
          <w:szCs w:val="22"/>
        </w:rPr>
        <w:t xml:space="preserve"> País ou no exterior pela organização da sociedade civil.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Certidão Negativa de Débitos</w:t>
      </w:r>
      <w:r>
        <w:rPr>
          <w:rFonts w:ascii="Times New Roman" w:hAnsi="Times New Roman"/>
          <w:sz w:val="22"/>
          <w:szCs w:val="22"/>
        </w:rPr>
        <w:t xml:space="preserve"> Trabalhistas - CNDT;</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w:t>
      </w:r>
      <w:r>
        <w:rPr>
          <w:rFonts w:ascii="Times New Roman" w:hAnsi="Times New Roman"/>
          <w:sz w:val="22"/>
          <w:szCs w:val="22"/>
        </w:rPr>
        <w:t>stência de instalações e outras condições materiais da organização ou sobre a previsão de contratar ou adquirir com recursos da parceria (Modelo - Anexo V).</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w:t>
      </w:r>
      <w:r>
        <w:rPr>
          <w:rFonts w:ascii="Times New Roman" w:hAnsi="Times New Roman"/>
          <w:sz w:val="22"/>
          <w:szCs w:val="22"/>
        </w:rPr>
        <w:t xml:space="preserve"> Ministério Público ou dirigente de órgão ou entidade da administração pública federal ou, ainda, seu cônjuge, companheiro ou parente em linha reta, colateral ou por afinidade, até o segundo grau (Modelo - Anexo VI).</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do representante legal de qu</w:t>
      </w:r>
      <w:r>
        <w:rPr>
          <w:rFonts w:ascii="Times New Roman" w:hAnsi="Times New Roman"/>
          <w:sz w:val="22"/>
          <w:szCs w:val="22"/>
        </w:rPr>
        <w:t>e não contratará, para prestação de serviços, servidor ou empregado público, inclusive aquele que exerça cargo em comissão ou função de confiança, de órgão ou entidade da administração pública federal celebrante, ou seu cônjuge, companheiro ou parente em l</w:t>
      </w:r>
      <w:r>
        <w:rPr>
          <w:rFonts w:ascii="Times New Roman" w:hAnsi="Times New Roman"/>
          <w:sz w:val="22"/>
          <w:szCs w:val="22"/>
        </w:rPr>
        <w:t>inha reta, colateral ou por afinidade, até o segundo grau, ressalvadas as hipóteses previstas em lei específica e na lei de diretrizes orçamentárias (Modelo - Anexo VII); 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Declaração do representante legal da organização de que a entidade não remunerará, </w:t>
      </w:r>
      <w:r>
        <w:rPr>
          <w:rFonts w:ascii="Times New Roman" w:hAnsi="Times New Roman"/>
          <w:sz w:val="22"/>
          <w:szCs w:val="22"/>
        </w:rPr>
        <w:t>a qualquer título, com os recursos repassados (Modelo - Anexo VIII):</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w:t>
      </w:r>
      <w:r>
        <w:rPr>
          <w:rFonts w:ascii="Times New Roman" w:hAnsi="Times New Roman"/>
          <w:sz w:val="22"/>
          <w:szCs w:val="22"/>
        </w:rPr>
        <w:t xml:space="preserve">u função de confiança, de órgão ou entidade da administração pública federal celebrante, ou seu cônjuge, companheiro ou parente em linha reta, colateral ou por afinidade, até o segundo grau, ressalvadas as hipóteses previstas em lei específica e na lei de </w:t>
      </w:r>
      <w:r>
        <w:rPr>
          <w:rFonts w:ascii="Times New Roman" w:hAnsi="Times New Roman"/>
          <w:sz w:val="22"/>
          <w:szCs w:val="22"/>
        </w:rPr>
        <w:t>diretrizes orçamentárias; e</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w:t>
      </w:r>
      <w:r>
        <w:rPr>
          <w:rFonts w:ascii="Times New Roman" w:hAnsi="Times New Roman"/>
          <w:sz w:val="22"/>
          <w:szCs w:val="22"/>
        </w:rPr>
        <w:t>e bens, direitos e valores.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Declaração do representante legal da empresa informando os dados relativos a conta </w:t>
      </w:r>
      <w:r>
        <w:rPr>
          <w:rFonts w:ascii="Times New Roman" w:hAnsi="Times New Roman"/>
          <w:sz w:val="22"/>
          <w:szCs w:val="22"/>
        </w:rPr>
        <w:lastRenderedPageBreak/>
        <w:t>corrente específica a ser mantida pela Organização da Sociedade Civil, para recebimento dos recursos relativos à parceria a ser firmada (Modelo -</w:t>
      </w:r>
      <w:r>
        <w:rPr>
          <w:rFonts w:ascii="Times New Roman" w:hAnsi="Times New Roman"/>
          <w:sz w:val="22"/>
          <w:szCs w:val="22"/>
        </w:rPr>
        <w:t xml:space="preserve"> Anexo IX).</w:t>
      </w:r>
    </w:p>
    <w:p w:rsidR="00630581" w:rsidRDefault="00C74C10">
      <w:pPr>
        <w:pStyle w:val="PargrafodaLista"/>
        <w:numPr>
          <w:ilvl w:val="4"/>
          <w:numId w:val="3"/>
        </w:numPr>
        <w:spacing w:before="60" w:line="264" w:lineRule="auto"/>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w:t>
      </w:r>
      <w:r>
        <w:rPr>
          <w:rFonts w:ascii="Times New Roman" w:hAnsi="Times New Roman"/>
          <w:sz w:val="22"/>
          <w:szCs w:val="22"/>
        </w:rPr>
        <w:t>ra pagamentos das despesas previstas na parceria.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w:t>
      </w:r>
      <w:r>
        <w:rPr>
          <w:rFonts w:ascii="Times New Roman" w:hAnsi="Times New Roman"/>
          <w:sz w:val="22"/>
          <w:szCs w:val="22"/>
        </w:rPr>
        <w:t>viços de adequação de espaço físico para o cumprimento do objeto da parceria.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As organizações da sociedade civil ficarão </w:t>
      </w:r>
      <w:r>
        <w:rPr>
          <w:rFonts w:ascii="Times New Roman" w:hAnsi="Times New Roman"/>
          <w:sz w:val="22"/>
          <w:szCs w:val="22"/>
        </w:rPr>
        <w:t>dispensadas de reapresentar as certidões  que estiverem vencidas no momento da análise, desde que estejam disponíveis eletronicamente.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Caso as certidões não estejam disponíveis eletronicamente, a OSC será notificada para apresentá-las, no prazo de 15 </w:t>
      </w:r>
      <w:r>
        <w:rPr>
          <w:rFonts w:ascii="Times New Roman" w:hAnsi="Times New Roman"/>
          <w:sz w:val="22"/>
          <w:szCs w:val="22"/>
        </w:rPr>
        <w:t>(quinze) dias, sob pena de não celebração da parceria.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w:t>
      </w:r>
      <w:r>
        <w:rPr>
          <w:rFonts w:ascii="Times New Roman" w:hAnsi="Times New Roman"/>
          <w:sz w:val="22"/>
          <w:szCs w:val="22"/>
        </w:rPr>
        <w:t>es e/ou em outras informações relevantes que possam comprometer a habilitação jurídica e fiscal da mesma ou ainda o objeto da parceria.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No que se refere ao item 12.1.12, entende-se por membro “de Poder” o titular de cargo estrutural à organização política </w:t>
      </w:r>
      <w:r>
        <w:rPr>
          <w:rFonts w:ascii="Times New Roman" w:hAnsi="Times New Roman"/>
          <w:sz w:val="22"/>
          <w:szCs w:val="22"/>
        </w:rPr>
        <w:t>do País que exerça atividade típica de governo, de forma remunerada, como Presidente da República, Governadores, Prefeitos, e seus respectivos vices, Ministros de Estado, Secretários Estaduais e Municipais, Senadores, Deputados Federais, Deputados Estaduai</w:t>
      </w:r>
      <w:r>
        <w:rPr>
          <w:rFonts w:ascii="Times New Roman" w:hAnsi="Times New Roman"/>
          <w:sz w:val="22"/>
          <w:szCs w:val="22"/>
        </w:rPr>
        <w:t>s, Vereadores, membros do Poder Judiciário e membros do Ministério Público.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w:t>
      </w:r>
      <w:r>
        <w:rPr>
          <w:rFonts w:ascii="Times New Roman" w:hAnsi="Times New Roman"/>
          <w:sz w:val="22"/>
          <w:szCs w:val="22"/>
        </w:rPr>
        <w:t xml:space="preserve">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w:t>
      </w:r>
      <w:r>
        <w:rPr>
          <w:rFonts w:ascii="Times New Roman" w:hAnsi="Times New Roman"/>
          <w:sz w:val="22"/>
          <w:szCs w:val="22"/>
        </w:rPr>
        <w:t>os relativos à sua regularidade fiscal, ainda que no vencimento, em 3 (três) momentos distintos: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w:t>
      </w:r>
      <w:r>
        <w:rPr>
          <w:rFonts w:ascii="Times New Roman" w:hAnsi="Times New Roman"/>
          <w:sz w:val="22"/>
          <w:szCs w:val="22"/>
        </w:rPr>
        <w:t>ceiro do projeto;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w:t>
      </w:r>
      <w:r>
        <w:rPr>
          <w:rFonts w:ascii="Times New Roman" w:hAnsi="Times New Roman"/>
          <w:sz w:val="22"/>
          <w:szCs w:val="22"/>
        </w:rPr>
        <w:t>lamentação do órgão emissor que disponha sobre a validade dos mesmos.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Na ausência da declaração ou regulamentação de que trata o item 12.8, o documento será </w:t>
      </w:r>
      <w:r>
        <w:rPr>
          <w:rFonts w:ascii="Times New Roman" w:hAnsi="Times New Roman"/>
          <w:sz w:val="22"/>
          <w:szCs w:val="22"/>
        </w:rPr>
        <w:lastRenderedPageBreak/>
        <w:t>considerado válido pelo prazo de 30 (trinta) dias, a partir da data de sua emissão.</w:t>
      </w:r>
    </w:p>
    <w:p w:rsidR="00630581" w:rsidRDefault="00630581">
      <w:pPr>
        <w:spacing w:before="121"/>
        <w:ind w:right="106"/>
        <w:jc w:val="both"/>
        <w:rPr>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FORMA DE AP</w:t>
      </w:r>
      <w:r>
        <w:rPr>
          <w:rFonts w:ascii="Times New Roman" w:hAnsi="Times New Roman"/>
          <w:b/>
          <w:sz w:val="22"/>
          <w:szCs w:val="22"/>
        </w:rPr>
        <w:t>RESENTAÇÃO DO PLANO DE TRABALHO E DOCUMENTOS DE HABILITAÇÃO FINAL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w:t>
      </w:r>
      <w:r>
        <w:rPr>
          <w:rFonts w:ascii="Times New Roman" w:hAnsi="Times New Roman"/>
          <w:sz w:val="22"/>
          <w:szCs w:val="22"/>
        </w:rPr>
        <w:t>em com A.R. (Aviso de Recebimento), ou entregues pessoalmente na sede do Conselho, na seguinte forma:</w:t>
      </w:r>
    </w:p>
    <w:p w:rsidR="00630581" w:rsidRDefault="00C74C10">
      <w:pPr>
        <w:spacing w:before="121"/>
        <w:ind w:right="106"/>
        <w:jc w:val="both"/>
        <w:rPr>
          <w:b/>
          <w:color w:val="FF0000"/>
          <w:sz w:val="22"/>
          <w:szCs w:val="22"/>
        </w:rPr>
      </w:pPr>
      <w:r>
        <w:rPr>
          <w:b/>
          <w:noProof/>
          <w:color w:val="FF0000"/>
          <w:sz w:val="22"/>
          <w:szCs w:val="22"/>
        </w:rPr>
        <mc:AlternateContent>
          <mc:Choice Requires="wps">
            <w:drawing>
              <wp:anchor distT="19050" distB="0" distL="132715" distR="112395" simplePos="0" relativeHeight="27" behindDoc="0" locked="0" layoutInCell="0" allowOverlap="1" wp14:anchorId="20674AE8">
                <wp:simplePos x="0" y="0"/>
                <wp:positionH relativeFrom="column">
                  <wp:posOffset>13970</wp:posOffset>
                </wp:positionH>
                <wp:positionV relativeFrom="paragraph">
                  <wp:posOffset>372745</wp:posOffset>
                </wp:positionV>
                <wp:extent cx="5719445" cy="1582420"/>
                <wp:effectExtent l="0" t="0" r="9525" b="19050"/>
                <wp:wrapTopAndBottom/>
                <wp:docPr id="5" name="Caixa de texto 3"/>
                <wp:cNvGraphicFramePr/>
                <a:graphic xmlns:a="http://schemas.openxmlformats.org/drawingml/2006/main">
                  <a:graphicData uri="http://schemas.microsoft.com/office/word/2010/wordprocessingShape">
                    <wps:wsp>
                      <wps:cNvSpPr/>
                      <wps:spPr>
                        <a:xfrm>
                          <a:off x="0" y="0"/>
                          <a:ext cx="5718960" cy="1581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630581" w:rsidRDefault="00C74C10">
                            <w:pPr>
                              <w:pStyle w:val="Contedodoquadro"/>
                              <w:spacing w:before="240"/>
                              <w:ind w:left="200"/>
                              <w:contextualSpacing/>
                              <w:rPr>
                                <w:b/>
                                <w:sz w:val="22"/>
                              </w:rPr>
                            </w:pPr>
                            <w:r>
                              <w:rPr>
                                <w:b/>
                                <w:color w:val="000000"/>
                                <w:sz w:val="22"/>
                              </w:rPr>
                              <w:t xml:space="preserve">CONSELHO DE ARQUITETURA E URBANISMO DE PARANÁ </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b/>
                                <w:color w:val="000000"/>
                                <w:sz w:val="22"/>
                              </w:rPr>
                              <w:t>EDITAL DE CHAMAMENTO PÚBLICO N° 002/2021</w:t>
                            </w:r>
                          </w:p>
                          <w:p w:rsidR="00630581" w:rsidRDefault="00630581">
                            <w:pPr>
                              <w:pStyle w:val="Contedodoquadro"/>
                              <w:ind w:left="200"/>
                              <w:contextualSpacing/>
                              <w:rPr>
                                <w:b/>
                                <w:sz w:val="22"/>
                              </w:rPr>
                            </w:pPr>
                          </w:p>
                          <w:p w:rsidR="00630581" w:rsidRDefault="00C74C10">
                            <w:pPr>
                              <w:pStyle w:val="Contedodoquadro"/>
                              <w:ind w:left="200"/>
                              <w:contextualSpacing/>
                              <w:rPr>
                                <w:b/>
                                <w:sz w:val="22"/>
                              </w:rPr>
                            </w:pPr>
                            <w:r>
                              <w:rPr>
                                <w:color w:val="000000"/>
                                <w:sz w:val="22"/>
                                <w:u w:val="single"/>
                              </w:rPr>
                              <w:t>PLANO DE TRABALHO E DOCUMENTOS DE HABILITAÇÃO FINAL</w:t>
                            </w:r>
                          </w:p>
                          <w:p w:rsidR="00630581" w:rsidRDefault="00630581">
                            <w:pPr>
                              <w:pStyle w:val="Corpodetexto"/>
                              <w:spacing w:before="0"/>
                              <w:ind w:left="200"/>
                              <w:contextualSpacing/>
                              <w:rPr>
                                <w:sz w:val="20"/>
                              </w:rPr>
                            </w:pPr>
                          </w:p>
                          <w:p w:rsidR="00630581" w:rsidRDefault="00C74C10">
                            <w:pPr>
                              <w:pStyle w:val="Corpodetexto"/>
                              <w:spacing w:before="0"/>
                              <w:ind w:left="200"/>
                              <w:contextualSpacing/>
                              <w:rPr>
                                <w:color w:val="000000"/>
                              </w:rPr>
                            </w:pPr>
                            <w:r>
                              <w:rPr>
                                <w:color w:val="000000"/>
                              </w:rPr>
                              <w:t xml:space="preserve">Av. </w:t>
                            </w:r>
                            <w:r>
                              <w:rPr>
                                <w:color w:val="000000"/>
                              </w:rPr>
                              <w:t>Nossa Senhora da Luz, 2530, Alto da XV</w:t>
                            </w:r>
                          </w:p>
                          <w:p w:rsidR="00630581" w:rsidRDefault="00C74C10">
                            <w:pPr>
                              <w:pStyle w:val="Corpodetexto"/>
                              <w:spacing w:before="0"/>
                              <w:ind w:left="200"/>
                              <w:contextualSpacing/>
                              <w:rPr>
                                <w:color w:val="000000"/>
                              </w:rPr>
                            </w:pPr>
                            <w:r>
                              <w:rPr>
                                <w:color w:val="000000"/>
                              </w:rPr>
                              <w:t>CEP 80045-360</w:t>
                            </w:r>
                          </w:p>
                          <w:p w:rsidR="00630581" w:rsidRDefault="00C74C10">
                            <w:pPr>
                              <w:pStyle w:val="Corpodetexto"/>
                              <w:spacing w:before="0"/>
                              <w:ind w:left="200"/>
                              <w:contextualSpacing/>
                              <w:rPr>
                                <w:color w:val="000000"/>
                              </w:rPr>
                            </w:pPr>
                            <w:r>
                              <w:rPr>
                                <w:color w:val="000000"/>
                              </w:rPr>
                              <w:t>Curitiba, PR</w:t>
                            </w:r>
                          </w:p>
                        </w:txbxContent>
                      </wps:txbx>
                      <wps:bodyPr lIns="0" tIns="0" rIns="0" bIns="0" upright="1">
                        <a:noAutofit/>
                      </wps:bodyPr>
                    </wps:wsp>
                  </a:graphicData>
                </a:graphic>
              </wp:anchor>
            </w:drawing>
          </mc:Choice>
          <mc:Fallback>
            <w:pict>
              <v:rect id="shape_0" ID="Caixa de texto 3" path="m0,0l-2147483645,0l-2147483645,-2147483646l0,-2147483646xe" stroked="t" style="position:absolute;margin-left:1.1pt;margin-top:29.35pt;width:450.25pt;height:124.5pt;mso-wrap-style:square;v-text-anchor:top" wp14:anchorId="20674AE8">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rsidR="00630581" w:rsidRDefault="00630581">
      <w:pPr>
        <w:pStyle w:val="PargrafodaLista"/>
        <w:spacing w:before="121"/>
        <w:ind w:left="567" w:right="106"/>
        <w:jc w:val="both"/>
        <w:rPr>
          <w:rFonts w:ascii="Times New Roman" w:hAnsi="Times New Roman"/>
          <w:b/>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EQUIPE TÉCNICA E DA ANÁLISE DO PLANO DE TRABALHO E DOS DOCUMENTOS DE HABILITAÇÃO FINAL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análise dos Planos de Trabalho e dos Documentos de Habilitação Final será realizada por Equipe </w:t>
      </w:r>
      <w:r>
        <w:rPr>
          <w:rFonts w:ascii="Times New Roman" w:hAnsi="Times New Roman"/>
          <w:sz w:val="22"/>
          <w:szCs w:val="22"/>
        </w:rPr>
        <w:t>Técnica designada para essa finalidade, por meio de Portaria do CAU/PR.</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 Equipe Técnica irá emitir relatório individualizado dos Projetos, manifestando-se favorável ou contrariamente à celebração do Termo de Fomento, e pronunciando-se, de forma expressa, </w:t>
      </w:r>
      <w:r>
        <w:rPr>
          <w:rFonts w:ascii="Times New Roman" w:hAnsi="Times New Roman"/>
          <w:sz w:val="22"/>
          <w:szCs w:val="22"/>
        </w:rPr>
        <w:t>a respeito:</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da viabilidade de sua execução;</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 xml:space="preserve">da verificação do cronograma </w:t>
      </w:r>
      <w:r>
        <w:rPr>
          <w:rFonts w:ascii="Times New Roman" w:hAnsi="Times New Roman"/>
          <w:sz w:val="22"/>
          <w:szCs w:val="22"/>
        </w:rPr>
        <w:t>de desembolso;</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w:t>
      </w:r>
      <w:r>
        <w:rPr>
          <w:rFonts w:ascii="Times New Roman" w:hAnsi="Times New Roman"/>
          <w:sz w:val="22"/>
          <w:szCs w:val="22"/>
        </w:rPr>
        <w:t xml:space="preserve"> objetivos;</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da designação do gestor da parceria;</w:t>
      </w:r>
    </w:p>
    <w:p w:rsidR="00630581" w:rsidRDefault="00C74C10">
      <w:pPr>
        <w:pStyle w:val="PargrafodaLista"/>
        <w:numPr>
          <w:ilvl w:val="2"/>
          <w:numId w:val="3"/>
        </w:numPr>
        <w:suppressAutoHyphens w:val="0"/>
        <w:spacing w:before="60" w:line="264" w:lineRule="auto"/>
        <w:ind w:left="1361" w:hanging="794"/>
        <w:jc w:val="both"/>
        <w:rPr>
          <w:rFonts w:ascii="Times New Roman" w:hAnsi="Times New Roman"/>
          <w:sz w:val="22"/>
          <w:szCs w:val="22"/>
        </w:rPr>
      </w:pPr>
      <w:r>
        <w:rPr>
          <w:rFonts w:ascii="Times New Roman" w:hAnsi="Times New Roman"/>
          <w:sz w:val="22"/>
          <w:szCs w:val="22"/>
        </w:rPr>
        <w:t>da designação da comissão de monitoramento e avaliação da parceria.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w:t>
      </w:r>
      <w:r>
        <w:rPr>
          <w:rFonts w:ascii="Times New Roman" w:hAnsi="Times New Roman"/>
          <w:sz w:val="22"/>
          <w:szCs w:val="22"/>
        </w:rPr>
        <w:t xml:space="preserve">7 a 12.1.9 estiverem com prazo de vigência expirado e novas certidões não estiverem disponíveis eletronicamente, a organização da sociedade civil será notificada para, no prazo de 15 (quinze) dias, regularizar a documentação, sob pena de não celebração da </w:t>
      </w:r>
      <w:r>
        <w:rPr>
          <w:rFonts w:ascii="Times New Roman" w:hAnsi="Times New Roman"/>
          <w:sz w:val="22"/>
          <w:szCs w:val="22"/>
        </w:rPr>
        <w:t>parceria.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lastRenderedPageBreak/>
        <w:t>A notificação da Organização da Sociedade Civil poderá ser realizada por correspondência eletrônica ou outra forma, a critério da Administração do CAU/PR.</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w:t>
      </w:r>
      <w:r>
        <w:rPr>
          <w:rFonts w:ascii="Times New Roman" w:hAnsi="Times New Roman"/>
          <w:sz w:val="22"/>
          <w:szCs w:val="22"/>
        </w:rPr>
        <w:t>o de contrapartidas institucionais, as quais deverão ser especificadas e devidamente comprovadas quando da prestação de contas.</w:t>
      </w:r>
    </w:p>
    <w:p w:rsidR="00630581" w:rsidRDefault="00630581">
      <w:pPr>
        <w:pStyle w:val="PargrafodaLista"/>
        <w:suppressAutoHyphens w:val="0"/>
        <w:spacing w:before="121"/>
        <w:ind w:left="567" w:right="106"/>
        <w:jc w:val="both"/>
        <w:rPr>
          <w:rFonts w:ascii="Times New Roman" w:hAnsi="Times New Roman"/>
          <w:b/>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DA ANÁLISE JURÍDICA</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w:t>
      </w:r>
      <w:r>
        <w:rPr>
          <w:rFonts w:ascii="Times New Roman" w:hAnsi="Times New Roman"/>
          <w:sz w:val="22"/>
          <w:szCs w:val="22"/>
        </w:rPr>
        <w:t>tas e respectivos documentos, com a consequente emissão do parecer jurídico acerca da possibilidade de celebração da parceria.</w:t>
      </w:r>
    </w:p>
    <w:p w:rsidR="00630581" w:rsidRDefault="00630581">
      <w:pPr>
        <w:spacing w:before="121"/>
        <w:ind w:right="106"/>
        <w:jc w:val="both"/>
        <w:rPr>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FORMALIZAÇÃO DO TERMO DE FOMENTO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w:t>
      </w:r>
      <w:r>
        <w:rPr>
          <w:rFonts w:ascii="Times New Roman" w:hAnsi="Times New Roman"/>
          <w:sz w:val="22"/>
          <w:szCs w:val="22"/>
        </w:rPr>
        <w:t>tos acima mencionados e da emissão do parecer jurídico pela assessoria jurídica do órgão acerca da documentação envolvida no processo.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w:t>
      </w:r>
      <w:r>
        <w:rPr>
          <w:rFonts w:ascii="Times New Roman" w:hAnsi="Times New Roman"/>
          <w:sz w:val="22"/>
          <w:szCs w:val="22"/>
        </w:rPr>
        <w:t xml:space="preserve"> respectivo Termo de Fomento, serão notificadas para assinatura do referido instrumento.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Após a notificação de que trata o item 16.2, os representantes legais das Organizações da Sociedade Civil e os responsáveis técnicos dos projetos, deverão comparecer </w:t>
      </w:r>
      <w:r>
        <w:rPr>
          <w:rFonts w:ascii="Times New Roman" w:hAnsi="Times New Roman"/>
          <w:sz w:val="22"/>
          <w:szCs w:val="22"/>
        </w:rPr>
        <w:t>pessoalmente ao CAU/PR, no prazo de 10 (dez) dias a contar de sua notificação para a assinatura dos Termos de Fomento respectivos.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No mesmo prazo, poderão as OSC serem convocadas a apresentarem os documentos relativos à sua habilitação, que se encontrarem </w:t>
      </w:r>
      <w:r>
        <w:rPr>
          <w:rFonts w:ascii="Times New Roman" w:hAnsi="Times New Roman"/>
          <w:sz w:val="22"/>
          <w:szCs w:val="22"/>
        </w:rPr>
        <w:t>vencidos.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rsidR="00630581" w:rsidRDefault="00630581">
      <w:pPr>
        <w:spacing w:before="121"/>
        <w:ind w:right="106"/>
        <w:jc w:val="both"/>
        <w:rPr>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DIVULGAÇÃO DAS AÇÕES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Organizações da Socie</w:t>
      </w:r>
      <w:r>
        <w:rPr>
          <w:rFonts w:ascii="Times New Roman" w:hAnsi="Times New Roman"/>
          <w:sz w:val="22"/>
          <w:szCs w:val="22"/>
        </w:rPr>
        <w:t>dade Civil que firmarem Termo de Fomento com o CAU/PR deverão divulgar em seus sítios eletrônicos oficiais e em locais visíveis de suas sedes sociais e dos estabelecimentos em que exerçam suas ações, a celebração do respectivo termo.</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A divulgação deverá se</w:t>
      </w:r>
      <w:r>
        <w:rPr>
          <w:rFonts w:ascii="Times New Roman" w:hAnsi="Times New Roman"/>
          <w:sz w:val="22"/>
          <w:szCs w:val="22"/>
        </w:rPr>
        <w:t>r realizada desde a celebração das parcerias até 180 (cento e oitenta) dias após a apresentação da prestação de contas final.</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 xml:space="preserve">A data de assinatura e identificação do instrumento de parceria e </w:t>
      </w:r>
      <w:r>
        <w:rPr>
          <w:rFonts w:ascii="Times New Roman" w:hAnsi="Times New Roman"/>
          <w:sz w:val="22"/>
          <w:szCs w:val="22"/>
        </w:rPr>
        <w:t>do órgão da administração pública responsável;</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lastRenderedPageBreak/>
        <w:t>O valor to</w:t>
      </w:r>
      <w:r>
        <w:rPr>
          <w:rFonts w:ascii="Times New Roman" w:hAnsi="Times New Roman"/>
          <w:sz w:val="22"/>
          <w:szCs w:val="22"/>
        </w:rPr>
        <w:t>tal da parceria e valores liberados;</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rsidR="00630581" w:rsidRDefault="00C74C10">
      <w:pPr>
        <w:pStyle w:val="PargrafodaLista"/>
        <w:numPr>
          <w:ilvl w:val="3"/>
          <w:numId w:val="3"/>
        </w:numPr>
        <w:spacing w:before="121" w:line="264" w:lineRule="auto"/>
        <w:ind w:left="1701" w:right="106" w:hanging="567"/>
        <w:jc w:val="both"/>
        <w:rPr>
          <w:rFonts w:ascii="Times New Roman" w:hAnsi="Times New Roman"/>
          <w:sz w:val="22"/>
          <w:szCs w:val="22"/>
        </w:rPr>
      </w:pPr>
      <w:r>
        <w:rPr>
          <w:rFonts w:ascii="Times New Roman" w:hAnsi="Times New Roman"/>
          <w:sz w:val="22"/>
          <w:szCs w:val="22"/>
        </w:rPr>
        <w:t>Quando vinculados à execuçã</w:t>
      </w:r>
      <w:r>
        <w:rPr>
          <w:rFonts w:ascii="Times New Roman" w:hAnsi="Times New Roman"/>
          <w:sz w:val="22"/>
          <w:szCs w:val="22"/>
        </w:rPr>
        <w:t>o do objeto e pagos com recursos da parceria, o valor total da remuneração da equipe de trabalho, as funções que seus integrantes desempenham e a remuneração prevista para o respectivo exercício.</w:t>
      </w:r>
    </w:p>
    <w:p w:rsidR="00630581" w:rsidRDefault="00630581">
      <w:pPr>
        <w:spacing w:before="121"/>
        <w:ind w:left="-10" w:right="106"/>
        <w:rPr>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REPASSE DOS RECURSOS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O repasse dos recursos às OSC será </w:t>
      </w:r>
      <w:r>
        <w:rPr>
          <w:rFonts w:ascii="Times New Roman" w:hAnsi="Times New Roman"/>
          <w:sz w:val="22"/>
          <w:szCs w:val="22"/>
        </w:rPr>
        <w:t>realizado conforme cronograma de desembolso financeiro e metas apresentados no plano de trabalho pelas mesmas e aprovado pelo CAU/PR e, mediante apresentação da renovação dos documentos de habilitação jurídica e fiscal, os quais devem ser encaminhados ao g</w:t>
      </w:r>
      <w:r>
        <w:rPr>
          <w:rFonts w:ascii="Times New Roman" w:hAnsi="Times New Roman"/>
          <w:sz w:val="22"/>
          <w:szCs w:val="22"/>
        </w:rPr>
        <w:t>estor da parceria.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Os recursos liberados pelo CAU/PR em razão das parcerias</w:t>
      </w:r>
      <w:r>
        <w:rPr>
          <w:rFonts w:ascii="Times New Roman" w:hAnsi="Times New Roman"/>
          <w:sz w:val="22"/>
          <w:szCs w:val="22"/>
        </w:rPr>
        <w:t xml:space="preserve"> firmadas deverão ser mantidos e geridos em conta bancária específica do projeto aprovado, isenta de tarifa bancária, em instituição financeira pública e somente poderão ser utilizados para pagamentos das despesas previstas na parceria.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Em nenhuma hipótese</w:t>
      </w:r>
      <w:r>
        <w:rPr>
          <w:rFonts w:ascii="Times New Roman" w:hAnsi="Times New Roman"/>
          <w:sz w:val="22"/>
          <w:szCs w:val="22"/>
        </w:rPr>
        <w:t>, os recursos poderão ser transferidos para a movimentação em outras contas correntes de titularidade da OSC, ainda que seja para efetuar pagamentos a fornecedores e prestadores de serviços relativos ao projeto aprovado.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Enquanto não utilizado em sua final</w:t>
      </w:r>
      <w:r>
        <w:rPr>
          <w:rFonts w:ascii="Times New Roman" w:hAnsi="Times New Roman"/>
          <w:sz w:val="22"/>
          <w:szCs w:val="22"/>
        </w:rPr>
        <w:t>idade, o valor referente aos recursos transferidos deve ser aplicado em conta poupança ou aplicação financeira de curto prazo ou operação de mercado aberto lastreada em títulos da dívida pública, cujos rendimentos deverão ser utilizados, integralmente, par</w:t>
      </w:r>
      <w:r>
        <w:rPr>
          <w:rFonts w:ascii="Times New Roman" w:hAnsi="Times New Roman"/>
          <w:sz w:val="22"/>
          <w:szCs w:val="22"/>
        </w:rPr>
        <w:t>a a execução da parceria, estando estes sujeitos a prestação de contas.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quando houver evidências de irregularidade na aplicação de parcela anteriormente </w:t>
      </w:r>
      <w:r>
        <w:rPr>
          <w:rFonts w:ascii="Times New Roman" w:hAnsi="Times New Roman"/>
          <w:sz w:val="22"/>
          <w:szCs w:val="22"/>
        </w:rPr>
        <w:t>recebida;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w:t>
      </w:r>
      <w:r>
        <w:rPr>
          <w:rFonts w:ascii="Times New Roman" w:hAnsi="Times New Roman"/>
          <w:sz w:val="22"/>
          <w:szCs w:val="22"/>
        </w:rPr>
        <w:t>cativa suficiente as medidas saneadoras apontadas pelo CAU/PR, através de notificação encaminhada pelo gestor da parceria ou pelos órgãos de controle interno ou externo.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w:t>
      </w:r>
      <w:r>
        <w:rPr>
          <w:rFonts w:ascii="Times New Roman" w:hAnsi="Times New Roman"/>
          <w:sz w:val="22"/>
          <w:szCs w:val="22"/>
        </w:rPr>
        <w:t>a inadimplemento de obrigação estabelecida no termo de fomento</w:t>
      </w:r>
      <w:r>
        <w:rPr>
          <w:rFonts w:ascii="Times New Roman" w:hAnsi="Times New Roman"/>
          <w:color w:val="000000"/>
          <w:sz w:val="22"/>
          <w:szCs w:val="22"/>
        </w:rPr>
        <w:t>.</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proponente dever</w:t>
      </w:r>
      <w:r>
        <w:rPr>
          <w:rFonts w:ascii="Times New Roman" w:hAnsi="Times New Roman"/>
          <w:sz w:val="22"/>
          <w:szCs w:val="22"/>
        </w:rPr>
        <w:t>á encaminhar para o endereço eletrônico</w:t>
      </w:r>
      <w:r>
        <w:rPr>
          <w:rFonts w:ascii="Times New Roman" w:hAnsi="Times New Roman"/>
          <w:color w:val="FF0000"/>
          <w:sz w:val="22"/>
          <w:szCs w:val="22"/>
        </w:rPr>
        <w:t xml:space="preserve"> </w:t>
      </w:r>
      <w:r>
        <w:rPr>
          <w:rStyle w:val="LinkdaInternet"/>
          <w:rFonts w:ascii="Times New Roman" w:hAnsi="Times New Roman"/>
          <w:color w:val="000000"/>
          <w:sz w:val="22"/>
          <w:szCs w:val="22"/>
        </w:rPr>
        <w:t>athis@caupr.gov.br</w:t>
      </w:r>
      <w:r>
        <w:rPr>
          <w:rStyle w:val="LinkdaInternet"/>
          <w:rFonts w:ascii="Times New Roman" w:hAnsi="Times New Roman"/>
          <w:sz w:val="22"/>
          <w:szCs w:val="22"/>
        </w:rPr>
        <w:t xml:space="preserve"> </w:t>
      </w:r>
      <w:r>
        <w:rPr>
          <w:rFonts w:ascii="Times New Roman" w:hAnsi="Times New Roman"/>
          <w:sz w:val="22"/>
          <w:szCs w:val="22"/>
        </w:rPr>
        <w:t xml:space="preserve">declaração de </w:t>
      </w:r>
      <w:r>
        <w:rPr>
          <w:rFonts w:ascii="Times New Roman" w:hAnsi="Times New Roman"/>
          <w:sz w:val="22"/>
          <w:szCs w:val="22"/>
        </w:rPr>
        <w:lastRenderedPageBreak/>
        <w:t>repasse de recurso de cada valor depositado na conta corrente específica do projeto, conforme Anexo XI, do presente Edital.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w:t>
      </w:r>
      <w:r>
        <w:rPr>
          <w:rFonts w:ascii="Times New Roman" w:hAnsi="Times New Roman"/>
          <w:sz w:val="22"/>
          <w:szCs w:val="22"/>
        </w:rPr>
        <w:t xml:space="preserve"> no momento imediatamente anterior a assinatura do Termo de Fomento para a celebração da parceria, os dados relativos a conta corrente específica destinada ao recebimento dos recursos, nos termos do presente Edital.</w:t>
      </w:r>
    </w:p>
    <w:p w:rsidR="00630581" w:rsidRDefault="00630581">
      <w:pPr>
        <w:spacing w:before="121"/>
        <w:ind w:right="106"/>
        <w:rPr>
          <w:b/>
          <w:color w:val="FF0000"/>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DAS SANÇÕES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Quando a execução da parcer</w:t>
      </w:r>
      <w:r>
        <w:rPr>
          <w:rFonts w:ascii="Times New Roman" w:hAnsi="Times New Roman"/>
          <w:sz w:val="22"/>
          <w:szCs w:val="22"/>
        </w:rPr>
        <w:t xml:space="preserve">ia estiver em desacordo com o plano de trabalho e com as normas da </w:t>
      </w:r>
      <w:hyperlink r:id="rId9">
        <w:r>
          <w:rPr>
            <w:rFonts w:ascii="Times New Roman" w:hAnsi="Times New Roman"/>
            <w:sz w:val="22"/>
            <w:szCs w:val="22"/>
          </w:rPr>
          <w:t>Lei nº</w:t>
        </w:r>
      </w:hyperlink>
      <w:hyperlink r:id="rId10">
        <w:r>
          <w:rPr>
            <w:rFonts w:ascii="Times New Roman" w:hAnsi="Times New Roman"/>
            <w:sz w:val="22"/>
            <w:szCs w:val="22"/>
          </w:rPr>
          <w:t xml:space="preserve"> 13</w:t>
        </w:r>
        <w:r>
          <w:rPr>
            <w:rFonts w:ascii="Times New Roman" w:hAnsi="Times New Roman"/>
            <w:sz w:val="22"/>
            <w:szCs w:val="22"/>
          </w:rPr>
          <w:t>.019, de 2014</w:t>
        </w:r>
      </w:hyperlink>
      <w:r>
        <w:rPr>
          <w:rFonts w:ascii="Times New Roman" w:hAnsi="Times New Roman"/>
          <w:sz w:val="22"/>
          <w:szCs w:val="22"/>
        </w:rPr>
        <w:t>, e da legislação específica, o CAU/PR poderá aplicar à Organização da Sociedade Civil as seguintes sanções: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w:t>
      </w:r>
      <w:r>
        <w:rPr>
          <w:rFonts w:ascii="Times New Roman" w:hAnsi="Times New Roman"/>
          <w:sz w:val="22"/>
          <w:szCs w:val="22"/>
        </w:rPr>
        <w:t>il no âmbito da parceria que não justifiquem a aplicação de penalidade mais grave;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w:t>
      </w:r>
      <w:r>
        <w:rPr>
          <w:rFonts w:ascii="Times New Roman" w:hAnsi="Times New Roman"/>
          <w:sz w:val="22"/>
          <w:szCs w:val="22"/>
        </w:rPr>
        <w:t xml:space="preserve"> imposição da penalidade mais grave, considerando-se a natureza e a gravidade da infração cometida, as peculiaridades do caso concreto, as circunstâncias agravantes ou atenuantes e os danos que dela provieram para a administração pública federal. A sanção </w:t>
      </w:r>
      <w:r>
        <w:rPr>
          <w:rFonts w:ascii="Times New Roman" w:hAnsi="Times New Roman"/>
          <w:sz w:val="22"/>
          <w:szCs w:val="22"/>
        </w:rPr>
        <w:t>de suspensão temporária impede a organização da sociedade civil de participar de chamamento público e celebrar parcerias ou contratos com órgãos e entidades da administração pública federal por prazo não superior a dois anos; 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Declaração de inidoneidade q</w:t>
      </w:r>
      <w:r>
        <w:rPr>
          <w:rFonts w:ascii="Times New Roman" w:hAnsi="Times New Roman"/>
          <w:sz w:val="22"/>
          <w:szCs w:val="22"/>
        </w:rPr>
        <w:t>ue impedirá a organização da sociedade civil de participar de chamamento público e celebrar parcerias ou contratos com órgãos e entidades de todas as esferas de governo, enquanto perdurarem os motivos determinantes da punição ou até que seja promovida a re</w:t>
      </w:r>
      <w:r>
        <w:rPr>
          <w:rFonts w:ascii="Times New Roman" w:hAnsi="Times New Roman"/>
          <w:sz w:val="22"/>
          <w:szCs w:val="22"/>
        </w:rPr>
        <w:t>abilitação perante a autoridade que aplicou a penalidade, que ocorrerá quando a organização da sociedade civil ressarcir a administração pública federal pelos prejuízos resultantes, e após decorrido o prazo de dois anos da aplicação da sanção de declaração</w:t>
      </w:r>
      <w:r>
        <w:rPr>
          <w:rFonts w:ascii="Times New Roman" w:hAnsi="Times New Roman"/>
          <w:sz w:val="22"/>
          <w:szCs w:val="22"/>
        </w:rPr>
        <w:t xml:space="preserve"> de inidoneidade.</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Da decisão adminis</w:t>
      </w:r>
      <w:r>
        <w:rPr>
          <w:rFonts w:ascii="Times New Roman" w:hAnsi="Times New Roman"/>
          <w:sz w:val="22"/>
          <w:szCs w:val="22"/>
        </w:rPr>
        <w:t xml:space="preserve">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As sanções previstas na presente Seção poderão ser aplicadas cumulativamente as </w:t>
      </w:r>
      <w:r>
        <w:rPr>
          <w:rFonts w:ascii="Times New Roman" w:hAnsi="Times New Roman"/>
          <w:sz w:val="22"/>
          <w:szCs w:val="22"/>
        </w:rPr>
        <w:t>penalidades previstas nos artigos 63 a 72 da Lei 13.019, de 2014 e artigos 62 a 70, do Decreto 8.726, de 2016.</w:t>
      </w:r>
    </w:p>
    <w:p w:rsidR="00630581" w:rsidRDefault="00630581">
      <w:pPr>
        <w:spacing w:before="121"/>
        <w:ind w:right="106"/>
        <w:rPr>
          <w:b/>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PRESTAÇÃO DE CONTAS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w:t>
      </w:r>
      <w:r>
        <w:rPr>
          <w:rFonts w:ascii="Times New Roman" w:hAnsi="Times New Roman"/>
          <w:sz w:val="22"/>
          <w:szCs w:val="22"/>
        </w:rPr>
        <w:t>16 e no Manual de Prestação de Contas – Anexo XI do presente Edital.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w:t>
      </w:r>
      <w:r>
        <w:rPr>
          <w:rFonts w:ascii="Times New Roman" w:hAnsi="Times New Roman"/>
          <w:sz w:val="22"/>
          <w:szCs w:val="22"/>
        </w:rPr>
        <w:t xml:space="preserve">tado conforme pactuado, com a descrição pormenorizada das atividades realizadas e a comprovação do alcance das metas e dos resultados esperados, até o período de que trata a prestação de </w:t>
      </w:r>
      <w:r>
        <w:rPr>
          <w:rFonts w:ascii="Times New Roman" w:hAnsi="Times New Roman"/>
          <w:sz w:val="22"/>
          <w:szCs w:val="22"/>
        </w:rPr>
        <w:lastRenderedPageBreak/>
        <w:t>contas.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w:t>
      </w:r>
      <w:r>
        <w:rPr>
          <w:rFonts w:ascii="Times New Roman" w:hAnsi="Times New Roman"/>
          <w:sz w:val="22"/>
          <w:szCs w:val="22"/>
        </w:rPr>
        <w:t>o gestor da parceria, através dos seguintes documentos: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w:t>
      </w:r>
      <w:r>
        <w:rPr>
          <w:rFonts w:ascii="Times New Roman" w:hAnsi="Times New Roman"/>
          <w:sz w:val="22"/>
          <w:szCs w:val="22"/>
        </w:rPr>
        <w:t>ção da Sociedade Civil, contendo os projetos desenvolvidos para o cumprimento do objeto e o comparativo de metas propostas com os resultados alcançados, conforme Manual de Prestação de Contas, Anexo XI do presente Edital;</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Relatório de Execução Financeira, </w:t>
      </w:r>
      <w:r>
        <w:rPr>
          <w:rFonts w:ascii="Times New Roman" w:hAnsi="Times New Roman"/>
          <w:sz w:val="22"/>
          <w:szCs w:val="22"/>
        </w:rPr>
        <w:t>no prazo de até 60 (trinta) dias, a contar do término da execução da parceria, prorrogável por até quinze dias, mediante justificativa e solicitação prévia da Organização da Sociedade Civil, somente na hipótese de descumprimento de metas e resultados estab</w:t>
      </w:r>
      <w:r>
        <w:rPr>
          <w:rFonts w:ascii="Times New Roman" w:hAnsi="Times New Roman"/>
          <w:sz w:val="22"/>
          <w:szCs w:val="22"/>
        </w:rPr>
        <w:t>elecidos no plano de trabalho e conforme Manual de Prestação de Contas, Anexo XI do presente Edital;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w:t>
      </w:r>
      <w:r>
        <w:rPr>
          <w:rFonts w:ascii="Times New Roman" w:hAnsi="Times New Roman"/>
          <w:sz w:val="22"/>
          <w:szCs w:val="22"/>
        </w:rPr>
        <w:t>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w:t>
      </w:r>
      <w:r>
        <w:rPr>
          <w:rFonts w:ascii="Times New Roman" w:hAnsi="Times New Roman"/>
          <w:sz w:val="22"/>
          <w:szCs w:val="22"/>
        </w:rPr>
        <w:t>gados no sítio eletrônico do CAU/PR, permitida a visualização por qualquer interessado, nos termos do art. 65, da Lei 13.019, de 2014.</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Deverão ser observadas para a Prestação de Contas, as determinações constantes dos arts. 63 a 72 da Lei 13.019, de 2014, </w:t>
      </w:r>
      <w:r>
        <w:rPr>
          <w:rFonts w:ascii="Times New Roman" w:hAnsi="Times New Roman"/>
          <w:sz w:val="22"/>
          <w:szCs w:val="22"/>
        </w:rPr>
        <w:t>dos arts. 59 a 77 do Decreto 8.726, de 2016 e do Manual de Prestação de Contas, Anexo XI do presente Edital.</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w:t>
      </w:r>
      <w:r>
        <w:rPr>
          <w:rFonts w:ascii="Times New Roman" w:hAnsi="Times New Roman"/>
          <w:sz w:val="22"/>
          <w:szCs w:val="22"/>
        </w:rPr>
        <w:t>e se apurar as responsabilidades e eventuais danos ao Erário.</w:t>
      </w:r>
    </w:p>
    <w:p w:rsidR="00630581" w:rsidRDefault="00630581">
      <w:pPr>
        <w:spacing w:before="121"/>
        <w:ind w:right="106"/>
        <w:rPr>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DOS BENS REMANESCENTES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w:t>
      </w:r>
      <w:r>
        <w:rPr>
          <w:rFonts w:ascii="Times New Roman" w:hAnsi="Times New Roman"/>
          <w:sz w:val="22"/>
          <w:szCs w:val="22"/>
        </w:rPr>
        <w:t>ução do objeto, mas que a ele não se incorporam, os quais serão constituídos ao final da parceria, bens remanescentes.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w:t>
      </w:r>
      <w:r>
        <w:rPr>
          <w:rFonts w:ascii="Times New Roman" w:hAnsi="Times New Roman"/>
          <w:sz w:val="22"/>
          <w:szCs w:val="22"/>
        </w:rPr>
        <w:t>ansferência da propriedade ao CAU/PR, na hipótese da extinção da parceria;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Os bens remanescentes adquiridos com recursos transferidos poderão, a critério do CAU/PR, ser doados quando, após a consecução do objeto, não forem necessários para assegurar a </w:t>
      </w:r>
      <w:r>
        <w:rPr>
          <w:rFonts w:ascii="Times New Roman" w:hAnsi="Times New Roman"/>
          <w:sz w:val="22"/>
          <w:szCs w:val="22"/>
        </w:rPr>
        <w:t>continuidade do objeto pactuado, observado o disposto no presente termo e na legislação vigente;</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w:t>
      </w:r>
      <w:r>
        <w:rPr>
          <w:rFonts w:ascii="Times New Roman" w:hAnsi="Times New Roman"/>
          <w:sz w:val="22"/>
          <w:szCs w:val="22"/>
        </w:rPr>
        <w:t>-los, no prazo de até 90 (noventa) dias;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 xml:space="preserve">Na hipótese de dissolução da Organização da Sociedade Civil durante a vigência Termo </w:t>
      </w:r>
      <w:r>
        <w:rPr>
          <w:rFonts w:ascii="Times New Roman" w:hAnsi="Times New Roman"/>
          <w:sz w:val="22"/>
          <w:szCs w:val="22"/>
        </w:rPr>
        <w:lastRenderedPageBreak/>
        <w:t xml:space="preserve">de Fomento a ser firmado, os bens remanescentes deverão ser retirados pelo CAU/PR, no prazo de até noventa dias, contados da data </w:t>
      </w:r>
      <w:r>
        <w:rPr>
          <w:rFonts w:ascii="Times New Roman" w:hAnsi="Times New Roman"/>
          <w:sz w:val="22"/>
          <w:szCs w:val="22"/>
        </w:rPr>
        <w:t>de notificação da dissolução.</w:t>
      </w:r>
    </w:p>
    <w:p w:rsidR="00630581" w:rsidRDefault="00630581">
      <w:pPr>
        <w:spacing w:before="121"/>
        <w:ind w:right="106"/>
        <w:rPr>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MONITORAMENTO E AVALIAÇÃO</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w:t>
      </w:r>
      <w:r>
        <w:rPr>
          <w:rFonts w:ascii="Times New Roman" w:hAnsi="Times New Roman"/>
          <w:sz w:val="22"/>
          <w:szCs w:val="22"/>
        </w:rPr>
        <w:t>jetos, custos e indicadores e pela produção de entendimentos voltados à priorização do controle de resultados.</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 xml:space="preserve">Caberá a Comissão de Monitoramento e Avaliação do CAU/PR a avaliação e a homologação dos relatórios técnicos de monitoramento e avaliação, a ser </w:t>
      </w:r>
      <w:r>
        <w:rPr>
          <w:rFonts w:ascii="Times New Roman" w:hAnsi="Times New Roman"/>
          <w:sz w:val="22"/>
          <w:szCs w:val="22"/>
        </w:rPr>
        <w:t>emitido pela equipe técnica responsável do CAU/PR.</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rsidR="00630581" w:rsidRDefault="00C74C10">
      <w:pPr>
        <w:pStyle w:val="PargrafodaLista"/>
        <w:numPr>
          <w:ilvl w:val="1"/>
          <w:numId w:val="3"/>
        </w:numPr>
        <w:suppressAutoHyphens w:val="0"/>
        <w:spacing w:before="120" w:line="264" w:lineRule="auto"/>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w:t>
      </w:r>
      <w:r>
        <w:rPr>
          <w:rFonts w:ascii="Times New Roman" w:hAnsi="Times New Roman"/>
          <w:sz w:val="22"/>
          <w:szCs w:val="22"/>
        </w:rPr>
        <w:t>to da parceria, quando esta for necessária a verificação do cumprimento do objeto e verificação do alcance de suas metas, devendo notificar a OSC, no prazo mínimo de 3 (três) dias úteis anteriores a realização da visita.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Sempre que houver visita técnica in</w:t>
      </w:r>
      <w:r>
        <w:rPr>
          <w:rFonts w:ascii="Times New Roman" w:hAnsi="Times New Roman"/>
          <w:sz w:val="22"/>
          <w:szCs w:val="22"/>
        </w:rPr>
        <w:t xml:space="preserve"> loco, o resultado será circunstanciado em relatório de visita técnica in loco, que será enviado à organização da sociedade civil para conhecimento, esclarecimentos e providências e poderá ensejar a revisão do relatório, a critério do CAU/PR.</w:t>
      </w:r>
    </w:p>
    <w:p w:rsidR="00630581" w:rsidRDefault="00630581">
      <w:pPr>
        <w:pStyle w:val="PargrafodaLista"/>
        <w:suppressAutoHyphens w:val="0"/>
        <w:spacing w:before="121"/>
        <w:ind w:left="-10" w:right="106"/>
        <w:jc w:val="both"/>
        <w:rPr>
          <w:rFonts w:ascii="Times New Roman" w:hAnsi="Times New Roman"/>
          <w:b/>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 GESTÃO DA</w:t>
      </w:r>
      <w:r>
        <w:rPr>
          <w:rFonts w:ascii="Times New Roman" w:hAnsi="Times New Roman"/>
          <w:b/>
          <w:sz w:val="22"/>
          <w:szCs w:val="22"/>
        </w:rPr>
        <w:t xml:space="preserve"> PARCERIA</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São obrigações do gestor da parceria:</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rsidR="00630581" w:rsidRDefault="00C74C10">
      <w:pPr>
        <w:pStyle w:val="PargrafodaLista"/>
        <w:numPr>
          <w:ilvl w:val="2"/>
          <w:numId w:val="3"/>
        </w:numPr>
        <w:suppressAutoHyphens w:val="0"/>
        <w:spacing w:before="120" w:line="264" w:lineRule="auto"/>
        <w:ind w:left="1361" w:right="106" w:hanging="794"/>
        <w:jc w:val="both"/>
        <w:rPr>
          <w:rFonts w:ascii="Times New Roman" w:hAnsi="Times New Roman"/>
          <w:sz w:val="22"/>
          <w:szCs w:val="22"/>
        </w:rPr>
      </w:pPr>
      <w:r>
        <w:rPr>
          <w:rFonts w:ascii="Times New Roman" w:hAnsi="Times New Roman"/>
          <w:sz w:val="22"/>
          <w:szCs w:val="22"/>
        </w:rPr>
        <w:t xml:space="preserve">Informar ao seu superior hierárquico a existência de fatos que comprometam ou possam comprometer as atividades ou metas da parceria e de indícios de </w:t>
      </w:r>
      <w:r>
        <w:rPr>
          <w:rFonts w:ascii="Times New Roman" w:hAnsi="Times New Roman"/>
          <w:sz w:val="22"/>
          <w:szCs w:val="22"/>
        </w:rPr>
        <w:t>irregularidades na gestão dos recursos, bem como as providências adotadas ou que serão adotadas para sanar os problemas detectados;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w:t>
      </w:r>
      <w:r>
        <w:rPr>
          <w:rFonts w:ascii="Times New Roman" w:hAnsi="Times New Roman"/>
          <w:sz w:val="22"/>
          <w:szCs w:val="22"/>
        </w:rPr>
        <w:t>écnico de monitoramento e avaliação;</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rsidR="00630581" w:rsidRDefault="00630581">
      <w:pPr>
        <w:spacing w:before="121"/>
        <w:ind w:left="-10" w:right="106"/>
        <w:rPr>
          <w:b/>
          <w:sz w:val="22"/>
          <w:szCs w:val="22"/>
        </w:rPr>
      </w:pPr>
    </w:p>
    <w:p w:rsidR="00630581" w:rsidRDefault="00C74C10">
      <w:pPr>
        <w:pStyle w:val="PargrafodaLista"/>
        <w:numPr>
          <w:ilvl w:val="0"/>
          <w:numId w:val="3"/>
        </w:numPr>
        <w:spacing w:before="121"/>
        <w:ind w:left="567" w:right="106" w:hanging="577"/>
        <w:jc w:val="both"/>
        <w:rPr>
          <w:rFonts w:ascii="Times New Roman" w:hAnsi="Times New Roman"/>
          <w:b/>
          <w:sz w:val="22"/>
          <w:szCs w:val="22"/>
        </w:rPr>
      </w:pPr>
      <w:r>
        <w:rPr>
          <w:rFonts w:ascii="Times New Roman" w:hAnsi="Times New Roman"/>
          <w:b/>
          <w:sz w:val="22"/>
          <w:szCs w:val="22"/>
        </w:rPr>
        <w:t>DAS DISPOSIÇÕES FINAIS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O presente Edital de Chamamento Público terá eficácia a partir da data de publicação </w:t>
      </w:r>
      <w:r>
        <w:rPr>
          <w:rFonts w:ascii="Times New Roman" w:hAnsi="Times New Roman"/>
          <w:sz w:val="22"/>
          <w:szCs w:val="22"/>
        </w:rPr>
        <w:t>no sítio eletrônico do CAU/PR, podendo a qualquer tempo ser alterado, revogado ou anulado, no todo ou em parte, por decisão unilateral do CAU/PR, devido a motivo de interesse público ou exigência legal, sem que isso implique direitos à indenização ou recla</w:t>
      </w:r>
      <w:r>
        <w:rPr>
          <w:rFonts w:ascii="Times New Roman" w:hAnsi="Times New Roman"/>
          <w:sz w:val="22"/>
          <w:szCs w:val="22"/>
        </w:rPr>
        <w:t>mação de qualquer natureza.</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w:t>
      </w:r>
      <w:r>
        <w:rPr>
          <w:rFonts w:ascii="Times New Roman" w:hAnsi="Times New Roman"/>
          <w:sz w:val="22"/>
          <w:szCs w:val="22"/>
        </w:rPr>
        <w:t xml:space="preserve"> devidamente justificados.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lastRenderedPageBreak/>
        <w:t>As Organizações da Sociedade Civil são responsáveis pela fidelidade e legitimidade das informações e dos documentos apresentados em qualquer fase do presente processo administrativo.</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 homologação deste chamamento público não ger</w:t>
      </w:r>
      <w:r>
        <w:rPr>
          <w:rFonts w:ascii="Times New Roman" w:hAnsi="Times New Roman"/>
          <w:sz w:val="22"/>
          <w:szCs w:val="22"/>
        </w:rPr>
        <w:t>ará direito a Organização da Sociedade Civil à celebração da parceria.</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w:t>
      </w:r>
      <w:r>
        <w:rPr>
          <w:rFonts w:ascii="Times New Roman" w:hAnsi="Times New Roman"/>
          <w:sz w:val="22"/>
          <w:szCs w:val="22"/>
        </w:rPr>
        <w:t xml:space="preserve"> seu site na internet, sem qualquer ônus adicional à cota de recursos ajustada anteriormente com o proponente.</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O CAU/PR reserva-se o direito de divulgar a presente parceria e de utilizar, quando julgar oportuno, imagens e produtos do projeto em suas ações </w:t>
      </w:r>
      <w:r>
        <w:rPr>
          <w:rFonts w:ascii="Times New Roman" w:hAnsi="Times New Roman"/>
          <w:sz w:val="22"/>
          <w:szCs w:val="22"/>
        </w:rPr>
        <w:t>e peças de comunicação institucional, bem como em seu site na internet, sem qualquer ônus adicional à cota de recursos ajustada anteriormente com o a Organização da Sociedade Civil.</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w:t>
      </w:r>
      <w:r>
        <w:rPr>
          <w:rFonts w:ascii="Times New Roman" w:hAnsi="Times New Roman"/>
          <w:sz w:val="22"/>
          <w:szCs w:val="22"/>
        </w:rPr>
        <w:t xml:space="preserve"> devem contemplar a extensão da cessão de direito de utilização de imagens, ilustrações, arquivos de voz, fotografia, imagem do fotografado, créditos do fotógrafo e produtos para as ações de comunicação do CAU/PR, respeitados os direitos e garantias indivi</w:t>
      </w:r>
      <w:r>
        <w:rPr>
          <w:rFonts w:ascii="Times New Roman" w:hAnsi="Times New Roman"/>
          <w:sz w:val="22"/>
          <w:szCs w:val="22"/>
        </w:rPr>
        <w:t>duais garantidos na Constituição Federal e na legislação vigente.</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11">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w:t>
      </w:r>
      <w:r>
        <w:rPr>
          <w:rFonts w:ascii="Times New Roman" w:hAnsi="Times New Roman"/>
          <w:sz w:val="22"/>
          <w:szCs w:val="22"/>
        </w:rPr>
        <w:t>seleção, sem prejuízo da utilização de outros veículos de comunicação, oficiais ou não, de que o CAU/PR venha a dispor.</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12">
        <w:r>
          <w:rPr>
            <w:rStyle w:val="LinkdaInternet"/>
            <w:rFonts w:ascii="Times New Roman" w:hAnsi="Times New Roman"/>
            <w:color w:val="000000"/>
            <w:sz w:val="22"/>
            <w:szCs w:val="22"/>
          </w:rPr>
          <w:t>athis@caupr.gov.br</w:t>
        </w:r>
      </w:hyperlink>
      <w:r>
        <w:rPr>
          <w:rFonts w:ascii="Times New Roman" w:hAnsi="Times New Roman"/>
          <w:color w:val="000000"/>
          <w:sz w:val="22"/>
          <w:szCs w:val="22"/>
        </w:rPr>
        <w:t xml:space="preserve"> </w:t>
      </w:r>
      <w:r>
        <w:rPr>
          <w:rFonts w:ascii="Times New Roman" w:hAnsi="Times New Roman"/>
          <w:sz w:val="22"/>
          <w:szCs w:val="22"/>
        </w:rPr>
        <w:t>para esclarecimentos de d</w:t>
      </w:r>
      <w:r>
        <w:rPr>
          <w:rFonts w:ascii="Times New Roman" w:hAnsi="Times New Roman"/>
          <w:sz w:val="22"/>
          <w:szCs w:val="22"/>
        </w:rPr>
        <w:t>úvidas com relação ao Edital ou com relação à execução da parceria e a prestação de contas;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w:t>
      </w:r>
      <w:r>
        <w:rPr>
          <w:rFonts w:ascii="Times New Roman" w:hAnsi="Times New Roman"/>
          <w:sz w:val="22"/>
          <w:szCs w:val="22"/>
        </w:rPr>
        <w:t>ndendo tal restrição a seus fornecedores e prestadores de serviços, sob pena de rescisão contratual;</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w:t>
      </w:r>
      <w:r>
        <w:rPr>
          <w:rFonts w:ascii="Times New Roman" w:hAnsi="Times New Roman"/>
          <w:sz w:val="22"/>
          <w:szCs w:val="22"/>
        </w:rPr>
        <w:t>rmas destes diplomas legais e ainda, de forma subsidiária as disposições da Lei 9.784, de 1999.</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w:t>
      </w:r>
      <w:r>
        <w:rPr>
          <w:rFonts w:ascii="Times New Roman" w:hAnsi="Times New Roman"/>
          <w:sz w:val="22"/>
          <w:szCs w:val="22"/>
        </w:rPr>
        <w:t>iais à população, por ato próprio e independentemente de autorização judicial, a fim de realizar ou manter a execução das metas ou atividades pactuadas: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w:t>
      </w:r>
      <w:r>
        <w:rPr>
          <w:rFonts w:ascii="Times New Roman" w:hAnsi="Times New Roman"/>
          <w:sz w:val="22"/>
          <w:szCs w:val="22"/>
        </w:rPr>
        <w:t xml:space="preserve"> modalidade ou título que concedeu direitos de uso de tais bens;</w:t>
      </w:r>
    </w:p>
    <w:p w:rsidR="00630581" w:rsidRDefault="00C74C10">
      <w:pPr>
        <w:pStyle w:val="PargrafodaLista"/>
        <w:numPr>
          <w:ilvl w:val="2"/>
          <w:numId w:val="3"/>
        </w:numPr>
        <w:suppressAutoHyphens w:val="0"/>
        <w:spacing w:before="120" w:line="264" w:lineRule="auto"/>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w:t>
      </w:r>
      <w:r>
        <w:rPr>
          <w:rFonts w:ascii="Times New Roman" w:hAnsi="Times New Roman"/>
          <w:sz w:val="22"/>
          <w:szCs w:val="22"/>
        </w:rPr>
        <w:t>o de contas o que foi executado pela organização da sociedade civil até o momento em que o CAU/PR assumiu essas responsabilidades.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w:t>
      </w:r>
      <w:r>
        <w:rPr>
          <w:rFonts w:ascii="Times New Roman" w:hAnsi="Times New Roman"/>
          <w:sz w:val="22"/>
          <w:szCs w:val="22"/>
        </w:rPr>
        <w:t>razo de dez anos, contado do dia útil subsequente ao da apresentação da prestação de contas ou do decurso do prazo para a apresentação da prestação de contas.</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w:t>
      </w:r>
      <w:r>
        <w:rPr>
          <w:rFonts w:ascii="Times New Roman" w:hAnsi="Times New Roman"/>
          <w:sz w:val="22"/>
          <w:szCs w:val="22"/>
        </w:rPr>
        <w:t>ais decorrentes das parcerias firmadas com o CAU/PR, nos termos deste Edital.</w:t>
      </w:r>
    </w:p>
    <w:p w:rsidR="00630581" w:rsidRDefault="00630581">
      <w:pPr>
        <w:spacing w:before="121"/>
        <w:ind w:right="106"/>
        <w:rPr>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 FORO</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lastRenderedPageBreak/>
        <w:t>As questões decorrentes da execução deste Instrumento, que não possam ser dirimidas administrativamente, serão processadas e julgadas no foro da Justiça Federal de Curit</w:t>
      </w:r>
      <w:r>
        <w:rPr>
          <w:rFonts w:ascii="Times New Roman" w:hAnsi="Times New Roman"/>
          <w:sz w:val="22"/>
          <w:szCs w:val="22"/>
        </w:rPr>
        <w:t>iba/PR, com exclusão de qualquer outro, por mais privilegiado que seja, salvo nos casos previstos no art. 102, inciso I, alínea “d” da Constituição Federal.</w:t>
      </w:r>
    </w:p>
    <w:p w:rsidR="00630581" w:rsidRDefault="00630581">
      <w:pPr>
        <w:pStyle w:val="PargrafodaLista"/>
        <w:suppressAutoHyphens w:val="0"/>
        <w:spacing w:before="121"/>
        <w:ind w:left="567" w:right="106"/>
        <w:jc w:val="both"/>
        <w:rPr>
          <w:rFonts w:ascii="Times New Roman" w:hAnsi="Times New Roman"/>
          <w:sz w:val="22"/>
          <w:szCs w:val="22"/>
        </w:rPr>
      </w:pPr>
    </w:p>
    <w:p w:rsidR="00630581" w:rsidRDefault="00C74C10">
      <w:pPr>
        <w:pStyle w:val="PargrafodaLista"/>
        <w:numPr>
          <w:ilvl w:val="0"/>
          <w:numId w:val="3"/>
        </w:numPr>
        <w:spacing w:before="121"/>
        <w:ind w:left="567" w:right="106" w:hanging="567"/>
        <w:jc w:val="both"/>
        <w:rPr>
          <w:rFonts w:ascii="Times New Roman" w:hAnsi="Times New Roman"/>
          <w:b/>
          <w:sz w:val="22"/>
          <w:szCs w:val="22"/>
        </w:rPr>
      </w:pPr>
      <w:r>
        <w:rPr>
          <w:rFonts w:ascii="Times New Roman" w:hAnsi="Times New Roman"/>
          <w:b/>
          <w:sz w:val="22"/>
          <w:szCs w:val="22"/>
        </w:rPr>
        <w:t>DOS DOCUMENTOS INTEGRANTES DESTE EDITAL</w:t>
      </w:r>
    </w:p>
    <w:p w:rsidR="00630581" w:rsidRDefault="00C74C10">
      <w:pPr>
        <w:pStyle w:val="PargrafodaLista"/>
        <w:numPr>
          <w:ilvl w:val="1"/>
          <w:numId w:val="3"/>
        </w:numPr>
        <w:suppressAutoHyphens w:val="0"/>
        <w:spacing w:before="12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3">
        <w:r>
          <w:rPr>
            <w:rFonts w:ascii="Times New Roman" w:hAnsi="Times New Roman"/>
            <w:sz w:val="22"/>
            <w:szCs w:val="22"/>
          </w:rPr>
          <w:t>Anexo I – Formulário de Apresentação do Projeto</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4">
        <w:r>
          <w:rPr>
            <w:rFonts w:ascii="Times New Roman" w:hAnsi="Times New Roman"/>
            <w:sz w:val="22"/>
            <w:szCs w:val="22"/>
          </w:rPr>
          <w:t>Anexo II – Plano de Trabalho</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5">
        <w:r>
          <w:rPr>
            <w:rFonts w:ascii="Times New Roman" w:hAnsi="Times New Roman"/>
            <w:sz w:val="22"/>
            <w:szCs w:val="22"/>
          </w:rPr>
          <w:t>Anexo III – Declaração – art. 26, IX, Decreto 8.726-2016</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6">
        <w:r>
          <w:rPr>
            <w:rFonts w:ascii="Times New Roman" w:hAnsi="Times New Roman"/>
            <w:sz w:val="22"/>
            <w:szCs w:val="22"/>
          </w:rPr>
          <w:t>Anexo IV – Declaração – Vedação – Dirigentes CAUBR e CAUU</w:t>
        </w:r>
        <w:r>
          <w:rPr>
            <w:rFonts w:ascii="Times New Roman" w:hAnsi="Times New Roman"/>
            <w:sz w:val="22"/>
            <w:szCs w:val="22"/>
          </w:rPr>
          <w:t>F</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7">
        <w:r>
          <w:rPr>
            <w:rFonts w:ascii="Times New Roman" w:hAnsi="Times New Roman"/>
            <w:sz w:val="22"/>
            <w:szCs w:val="22"/>
          </w:rPr>
          <w:t>Anexo V – Declaração – art. 26, X, Decreto 8.726-2016</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8">
        <w:r>
          <w:rPr>
            <w:rFonts w:ascii="Times New Roman" w:hAnsi="Times New Roman"/>
            <w:sz w:val="22"/>
            <w:szCs w:val="22"/>
          </w:rPr>
          <w:t xml:space="preserve">Anexo VI – Declaração – art. </w:t>
        </w:r>
        <w:bookmarkStart w:id="1" w:name="_GoBack"/>
        <w:r>
          <w:rPr>
            <w:rFonts w:ascii="Times New Roman" w:hAnsi="Times New Roman"/>
            <w:sz w:val="22"/>
            <w:szCs w:val="22"/>
          </w:rPr>
          <w:t>27</w:t>
        </w:r>
        <w:bookmarkEnd w:id="1"/>
        <w:r>
          <w:rPr>
            <w:rFonts w:ascii="Times New Roman" w:hAnsi="Times New Roman"/>
            <w:sz w:val="22"/>
            <w:szCs w:val="22"/>
          </w:rPr>
          <w:t>, I, a e b, Decreto 8726-2016</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19">
        <w:r>
          <w:rPr>
            <w:rFonts w:ascii="Times New Roman" w:hAnsi="Times New Roman"/>
            <w:sz w:val="22"/>
            <w:szCs w:val="22"/>
          </w:rPr>
          <w:t>Anexo VII – Declaração – art. 27, II, Decreto 8726-2016</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0">
        <w:r>
          <w:rPr>
            <w:rFonts w:ascii="Times New Roman" w:hAnsi="Times New Roman"/>
            <w:sz w:val="22"/>
            <w:szCs w:val="22"/>
          </w:rPr>
          <w:t>Anexo VIII – Declaração – art. 27, III, Decreto 8726-2016 – 003-2018</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1">
        <w:r>
          <w:rPr>
            <w:rFonts w:ascii="Times New Roman" w:hAnsi="Times New Roman"/>
            <w:sz w:val="22"/>
            <w:szCs w:val="22"/>
          </w:rPr>
          <w:t>Anexo IX – Declaração – art. 33, Decreto 8726-2016</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2">
        <w:r>
          <w:rPr>
            <w:rFonts w:ascii="Times New Roman" w:hAnsi="Times New Roman"/>
            <w:sz w:val="22"/>
            <w:szCs w:val="22"/>
          </w:rPr>
          <w:t>Anexo X – Declaração de recebimento de repasse de recurso</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3">
        <w:r>
          <w:rPr>
            <w:rFonts w:ascii="Times New Roman" w:hAnsi="Times New Roman"/>
            <w:sz w:val="22"/>
            <w:szCs w:val="22"/>
          </w:rPr>
          <w:t>Anexo XI – Manual Prestaç</w:t>
        </w:r>
        <w:r>
          <w:rPr>
            <w:rFonts w:ascii="Times New Roman" w:hAnsi="Times New Roman"/>
            <w:sz w:val="22"/>
            <w:szCs w:val="22"/>
          </w:rPr>
          <w:t>ão Contas</w:t>
        </w:r>
      </w:hyperlink>
    </w:p>
    <w:p w:rsidR="00630581" w:rsidRDefault="00C74C10">
      <w:pPr>
        <w:pStyle w:val="PargrafodaLista"/>
        <w:numPr>
          <w:ilvl w:val="3"/>
          <w:numId w:val="12"/>
        </w:numPr>
        <w:suppressAutoHyphens w:val="0"/>
        <w:spacing w:before="120"/>
        <w:ind w:left="1701" w:hanging="567"/>
        <w:jc w:val="both"/>
        <w:rPr>
          <w:rFonts w:ascii="Times New Roman" w:hAnsi="Times New Roman"/>
          <w:sz w:val="22"/>
          <w:szCs w:val="22"/>
        </w:rPr>
      </w:pPr>
      <w:hyperlink r:id="rId24">
        <w:r>
          <w:rPr>
            <w:rFonts w:ascii="Times New Roman" w:hAnsi="Times New Roman"/>
            <w:sz w:val="22"/>
            <w:szCs w:val="22"/>
          </w:rPr>
          <w:t>Apenso 1 – Relatório Final Execução do Objeto</w:t>
        </w:r>
      </w:hyperlink>
    </w:p>
    <w:p w:rsidR="00630581" w:rsidRDefault="00C74C10">
      <w:pPr>
        <w:pStyle w:val="PargrafodaLista"/>
        <w:numPr>
          <w:ilvl w:val="3"/>
          <w:numId w:val="12"/>
        </w:numPr>
        <w:suppressAutoHyphens w:val="0"/>
        <w:spacing w:before="120"/>
        <w:ind w:left="1701" w:hanging="567"/>
        <w:jc w:val="both"/>
        <w:rPr>
          <w:rFonts w:ascii="Times New Roman" w:hAnsi="Times New Roman"/>
          <w:sz w:val="22"/>
          <w:szCs w:val="22"/>
        </w:rPr>
      </w:pPr>
      <w:hyperlink r:id="rId25">
        <w:r>
          <w:rPr>
            <w:rFonts w:ascii="Times New Roman" w:hAnsi="Times New Roman"/>
            <w:sz w:val="22"/>
            <w:szCs w:val="22"/>
          </w:rPr>
          <w:t>Apenso 2 – Relatório Final Execução Financeira</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6">
        <w:r>
          <w:rPr>
            <w:rFonts w:ascii="Times New Roman" w:hAnsi="Times New Roman"/>
            <w:sz w:val="22"/>
            <w:szCs w:val="22"/>
          </w:rPr>
          <w:t>Anexo XII – Minuta T</w:t>
        </w:r>
        <w:r>
          <w:rPr>
            <w:rFonts w:ascii="Times New Roman" w:hAnsi="Times New Roman"/>
            <w:sz w:val="22"/>
            <w:szCs w:val="22"/>
          </w:rPr>
          <w:t>ermo de Fomento</w:t>
        </w:r>
      </w:hyperlink>
    </w:p>
    <w:p w:rsidR="00630581" w:rsidRDefault="00C74C10">
      <w:pPr>
        <w:pStyle w:val="PargrafodaLista"/>
        <w:numPr>
          <w:ilvl w:val="2"/>
          <w:numId w:val="3"/>
        </w:numPr>
        <w:suppressAutoHyphens w:val="0"/>
        <w:spacing w:before="120"/>
        <w:ind w:left="1276" w:hanging="709"/>
        <w:jc w:val="both"/>
        <w:rPr>
          <w:rFonts w:ascii="Times New Roman" w:hAnsi="Times New Roman"/>
          <w:sz w:val="22"/>
          <w:szCs w:val="22"/>
        </w:rPr>
      </w:pPr>
      <w:hyperlink r:id="rId27">
        <w:r>
          <w:rPr>
            <w:rFonts w:ascii="Times New Roman" w:hAnsi="Times New Roman"/>
            <w:sz w:val="22"/>
            <w:szCs w:val="22"/>
          </w:rPr>
          <w:t>Anexo XIII – Cronograma</w:t>
        </w:r>
      </w:hyperlink>
    </w:p>
    <w:p w:rsidR="00630581" w:rsidRDefault="00630581">
      <w:pPr>
        <w:spacing w:before="121"/>
        <w:ind w:right="106"/>
        <w:rPr>
          <w:sz w:val="22"/>
          <w:szCs w:val="22"/>
        </w:rPr>
      </w:pPr>
    </w:p>
    <w:p w:rsidR="00630581" w:rsidRDefault="00630581">
      <w:pPr>
        <w:spacing w:before="121"/>
        <w:ind w:right="106"/>
        <w:rPr>
          <w:sz w:val="22"/>
          <w:szCs w:val="22"/>
        </w:rPr>
      </w:pPr>
    </w:p>
    <w:p w:rsidR="00630581" w:rsidRDefault="00630581">
      <w:pPr>
        <w:spacing w:before="121"/>
        <w:ind w:right="106"/>
        <w:rPr>
          <w:sz w:val="22"/>
          <w:szCs w:val="22"/>
        </w:rPr>
      </w:pPr>
    </w:p>
    <w:p w:rsidR="00630581" w:rsidRDefault="00C74C10">
      <w:pPr>
        <w:spacing w:after="160"/>
        <w:jc w:val="center"/>
        <w:rPr>
          <w:sz w:val="22"/>
          <w:szCs w:val="22"/>
        </w:rPr>
      </w:pPr>
      <w:r>
        <w:rPr>
          <w:sz w:val="22"/>
          <w:szCs w:val="22"/>
        </w:rPr>
        <w:t>Curitiba (PR), 27</w:t>
      </w:r>
      <w:r>
        <w:rPr>
          <w:sz w:val="22"/>
          <w:szCs w:val="22"/>
        </w:rPr>
        <w:t xml:space="preserve"> de outubro de 2021</w:t>
      </w:r>
    </w:p>
    <w:p w:rsidR="00630581" w:rsidRDefault="00630581">
      <w:pPr>
        <w:spacing w:after="160"/>
        <w:jc w:val="center"/>
        <w:rPr>
          <w:sz w:val="22"/>
          <w:szCs w:val="22"/>
        </w:rPr>
      </w:pPr>
    </w:p>
    <w:p w:rsidR="00630581" w:rsidRDefault="00630581">
      <w:pPr>
        <w:spacing w:after="160"/>
        <w:jc w:val="center"/>
        <w:rPr>
          <w:sz w:val="22"/>
          <w:szCs w:val="22"/>
        </w:rPr>
      </w:pPr>
    </w:p>
    <w:p w:rsidR="00630581" w:rsidRDefault="00630581">
      <w:pPr>
        <w:spacing w:after="160"/>
        <w:jc w:val="center"/>
        <w:rPr>
          <w:sz w:val="22"/>
          <w:szCs w:val="22"/>
        </w:rPr>
      </w:pPr>
    </w:p>
    <w:p w:rsidR="00630581" w:rsidRDefault="00C74C10">
      <w:pPr>
        <w:jc w:val="center"/>
        <w:rPr>
          <w:b/>
          <w:sz w:val="22"/>
          <w:szCs w:val="22"/>
        </w:rPr>
      </w:pPr>
      <w:r>
        <w:rPr>
          <w:b/>
          <w:sz w:val="22"/>
          <w:szCs w:val="22"/>
        </w:rPr>
        <w:t>Milton Carlos Zanelatto Gonçalves</w:t>
      </w:r>
    </w:p>
    <w:p w:rsidR="00630581" w:rsidRDefault="00C74C10">
      <w:pPr>
        <w:jc w:val="center"/>
        <w:rPr>
          <w:b/>
          <w:sz w:val="22"/>
          <w:szCs w:val="22"/>
        </w:rPr>
      </w:pPr>
      <w:r>
        <w:rPr>
          <w:b/>
          <w:sz w:val="22"/>
          <w:szCs w:val="22"/>
        </w:rPr>
        <w:t>Presidente do CAU/PR</w:t>
      </w:r>
    </w:p>
    <w:p w:rsidR="00630581" w:rsidRDefault="00630581">
      <w:pPr>
        <w:spacing w:after="160"/>
        <w:rPr>
          <w:sz w:val="22"/>
        </w:rPr>
      </w:pPr>
    </w:p>
    <w:sectPr w:rsidR="00630581">
      <w:headerReference w:type="default" r:id="rId28"/>
      <w:footerReference w:type="default" r:id="rId29"/>
      <w:pgSz w:w="11906" w:h="16838"/>
      <w:pgMar w:top="1701" w:right="1134" w:bottom="153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4C10">
      <w:r>
        <w:separator/>
      </w:r>
    </w:p>
  </w:endnote>
  <w:endnote w:type="continuationSeparator" w:id="0">
    <w:p w:rsidR="00000000" w:rsidRDefault="00C7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81" w:rsidRDefault="00C74C10">
    <w:pPr>
      <w:pStyle w:val="Rodap"/>
      <w:ind w:left="-567"/>
      <w:jc w:val="center"/>
      <w:rPr>
        <w:b/>
        <w:color w:val="006666"/>
        <w:sz w:val="18"/>
      </w:rPr>
    </w:pPr>
    <w:r>
      <w:rPr>
        <w:b/>
        <w:color w:val="006666"/>
        <w:sz w:val="18"/>
      </w:rPr>
      <w:t>Conselho de Arquitetura e Urbanismo do Paraná.</w:t>
    </w:r>
  </w:p>
  <w:p w:rsidR="00630581" w:rsidRDefault="00C74C10">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630581" w:rsidRDefault="00C74C10">
    <w:pPr>
      <w:pStyle w:val="Rodap"/>
      <w:ind w:left="11" w:hanging="11"/>
      <w:jc w:val="center"/>
      <w:rPr>
        <w:color w:val="808080" w:themeColor="background1" w:themeShade="80"/>
        <w:sz w:val="14"/>
      </w:rPr>
    </w:pPr>
    <w:r>
      <w:rPr>
        <w:color w:val="808080" w:themeColor="background1" w:themeShade="80"/>
        <w:sz w:val="14"/>
      </w:rPr>
      <w:t xml:space="preserve">Cascavel: Rua Manoel </w:t>
    </w:r>
    <w:r>
      <w:rPr>
        <w:color w:val="808080" w:themeColor="background1" w:themeShade="80"/>
        <w:sz w:val="14"/>
      </w:rPr>
      <w:t>Ribas, 2.720, CEP 85810-170 - Fone: 45 3229-6546 | Londrina: Rua Paranaguá, 300, Sala 5, CEP 86020-030 -  Fone: 43 3039-0035 | Maringá: Av. Nóbrega, 968, Sala 3, CEP 87014-180 - Fone: 44 3262-5439 | Pato Branco: Rua Itabira, 1.804, CEP 85504-430 - Fone: 46</w:t>
    </w:r>
    <w:r>
      <w:rPr>
        <w:color w:val="808080" w:themeColor="background1" w:themeShade="80"/>
        <w:sz w:val="14"/>
      </w:rPr>
      <w:t xml:space="preserve">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4C10">
      <w:r>
        <w:separator/>
      </w:r>
    </w:p>
  </w:footnote>
  <w:footnote w:type="continuationSeparator" w:id="0">
    <w:p w:rsidR="00000000" w:rsidRDefault="00C7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355"/>
      <w:docPartObj>
        <w:docPartGallery w:val="Page Numbers (Top of Page)"/>
        <w:docPartUnique/>
      </w:docPartObj>
    </w:sdtPr>
    <w:sdtEndPr/>
    <w:sdtContent>
      <w:p w:rsidR="00630581" w:rsidRDefault="00C74C10">
        <w:pPr>
          <w:pStyle w:val="Cabealho"/>
          <w:jc w:val="right"/>
          <w:rPr>
            <w:rFonts w:asciiTheme="minorHAnsi" w:hAnsiTheme="minorHAnsi" w:cstheme="minorHAnsi"/>
            <w:sz w:val="20"/>
          </w:rPr>
        </w:pPr>
        <w:r>
          <w:rPr>
            <w:noProof/>
          </w:rPr>
          <w:drawing>
            <wp:anchor distT="0" distB="0" distL="0" distR="0" simplePos="0" relativeHeight="23"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Pr>
            <w:rFonts w:ascii="Calibri" w:hAnsi="Calibri" w:cs="Calibri"/>
            <w:b/>
            <w:bCs/>
            <w:noProof/>
            <w:sz w:val="20"/>
          </w:rPr>
          <w:t>18</w:t>
        </w:r>
        <w:r>
          <w:rPr>
            <w:rFonts w:ascii="Calibri" w:hAnsi="Calibri" w:cs="Calibri"/>
            <w:b/>
            <w:bCs/>
            <w:sz w:val="20"/>
          </w:rPr>
          <w:fldChar w:fldCharType="end"/>
        </w:r>
        <w:r>
          <w:rPr>
            <w:rFonts w:asciiTheme="minorHAnsi" w:hAnsiTheme="minorHAnsi" w:cstheme="minorHAns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Pr>
            <w:rFonts w:ascii="Calibri" w:hAnsi="Calibri" w:cs="Calibri"/>
            <w:b/>
            <w:bCs/>
            <w:noProof/>
            <w:sz w:val="20"/>
          </w:rPr>
          <w:t>22</w:t>
        </w:r>
        <w:r>
          <w:rPr>
            <w:rFonts w:ascii="Calibri" w:hAnsi="Calibri" w:cs="Calibri"/>
            <w:b/>
            <w:bCs/>
            <w:sz w:val="20"/>
          </w:rPr>
          <w:fldChar w:fldCharType="end"/>
        </w:r>
      </w:p>
    </w:sdtContent>
  </w:sdt>
  <w:p w:rsidR="00630581" w:rsidRDefault="00630581">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4504"/>
    <w:multiLevelType w:val="multilevel"/>
    <w:tmpl w:val="BAA4B2A8"/>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1" w15:restartNumberingAfterBreak="0">
    <w:nsid w:val="10570E92"/>
    <w:multiLevelType w:val="multilevel"/>
    <w:tmpl w:val="5F6AD7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685DB0"/>
    <w:multiLevelType w:val="multilevel"/>
    <w:tmpl w:val="E94A7BEC"/>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3" w15:restartNumberingAfterBreak="0">
    <w:nsid w:val="289F0346"/>
    <w:multiLevelType w:val="multilevel"/>
    <w:tmpl w:val="6E4E1D14"/>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4" w15:restartNumberingAfterBreak="0">
    <w:nsid w:val="4858275F"/>
    <w:multiLevelType w:val="multilevel"/>
    <w:tmpl w:val="3EACBE58"/>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15:restartNumberingAfterBreak="0">
    <w:nsid w:val="51D40BD6"/>
    <w:multiLevelType w:val="multilevel"/>
    <w:tmpl w:val="A68247B8"/>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6" w15:restartNumberingAfterBreak="0">
    <w:nsid w:val="54CA09ED"/>
    <w:multiLevelType w:val="multilevel"/>
    <w:tmpl w:val="E02C824A"/>
    <w:lvl w:ilvl="0">
      <w:start w:val="1"/>
      <w:numFmt w:val="upperRoman"/>
      <w:lvlText w:val="%1-"/>
      <w:lvlJc w:val="left"/>
      <w:pPr>
        <w:tabs>
          <w:tab w:val="num" w:pos="0"/>
        </w:tabs>
        <w:ind w:left="1287" w:hanging="720"/>
      </w:pPr>
      <w:rPr>
        <w:rFonts w:ascii="Times New Roman" w:hAnsi="Times New Roman" w:cs="Times New Roman"/>
        <w:color w:val="000000"/>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59A97244"/>
    <w:multiLevelType w:val="multilevel"/>
    <w:tmpl w:val="D134515C"/>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3543"/>
        </w:tabs>
        <w:ind w:left="5681" w:hanging="720"/>
      </w:pPr>
      <w:rPr>
        <w:b/>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8" w15:restartNumberingAfterBreak="0">
    <w:nsid w:val="6C93004C"/>
    <w:multiLevelType w:val="multilevel"/>
    <w:tmpl w:val="00447BC8"/>
    <w:lvl w:ilvl="0">
      <w:numFmt w:val="bullet"/>
      <w:lvlText w:val="-"/>
      <w:lvlJc w:val="left"/>
      <w:pPr>
        <w:tabs>
          <w:tab w:val="num" w:pos="0"/>
        </w:tabs>
        <w:ind w:left="184"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685" w:hanging="128"/>
      </w:pPr>
      <w:rPr>
        <w:rFonts w:ascii="Symbol" w:hAnsi="Symbol" w:cs="Symbol" w:hint="default"/>
        <w:lang w:val="pt-BR" w:eastAsia="pt-BR" w:bidi="pt-BR"/>
      </w:rPr>
    </w:lvl>
    <w:lvl w:ilvl="2">
      <w:numFmt w:val="bullet"/>
      <w:lvlText w:val=""/>
      <w:lvlJc w:val="left"/>
      <w:pPr>
        <w:tabs>
          <w:tab w:val="num" w:pos="0"/>
        </w:tabs>
        <w:ind w:left="1191" w:hanging="128"/>
      </w:pPr>
      <w:rPr>
        <w:rFonts w:ascii="Symbol" w:hAnsi="Symbol" w:cs="Symbol" w:hint="default"/>
        <w:lang w:val="pt-BR" w:eastAsia="pt-BR" w:bidi="pt-BR"/>
      </w:rPr>
    </w:lvl>
    <w:lvl w:ilvl="3">
      <w:numFmt w:val="bullet"/>
      <w:lvlText w:val=""/>
      <w:lvlJc w:val="left"/>
      <w:pPr>
        <w:tabs>
          <w:tab w:val="num" w:pos="0"/>
        </w:tabs>
        <w:ind w:left="1697" w:hanging="128"/>
      </w:pPr>
      <w:rPr>
        <w:rFonts w:ascii="Symbol" w:hAnsi="Symbol" w:cs="Symbol" w:hint="default"/>
        <w:lang w:val="pt-BR" w:eastAsia="pt-BR" w:bidi="pt-BR"/>
      </w:rPr>
    </w:lvl>
    <w:lvl w:ilvl="4">
      <w:numFmt w:val="bullet"/>
      <w:lvlText w:val=""/>
      <w:lvlJc w:val="left"/>
      <w:pPr>
        <w:tabs>
          <w:tab w:val="num" w:pos="0"/>
        </w:tabs>
        <w:ind w:left="2203" w:hanging="128"/>
      </w:pPr>
      <w:rPr>
        <w:rFonts w:ascii="Symbol" w:hAnsi="Symbol" w:cs="Symbol" w:hint="default"/>
        <w:lang w:val="pt-BR" w:eastAsia="pt-BR" w:bidi="pt-BR"/>
      </w:rPr>
    </w:lvl>
    <w:lvl w:ilvl="5">
      <w:numFmt w:val="bullet"/>
      <w:lvlText w:val=""/>
      <w:lvlJc w:val="left"/>
      <w:pPr>
        <w:tabs>
          <w:tab w:val="num" w:pos="0"/>
        </w:tabs>
        <w:ind w:left="2709" w:hanging="128"/>
      </w:pPr>
      <w:rPr>
        <w:rFonts w:ascii="Symbol" w:hAnsi="Symbol" w:cs="Symbol" w:hint="default"/>
        <w:lang w:val="pt-BR" w:eastAsia="pt-BR" w:bidi="pt-BR"/>
      </w:rPr>
    </w:lvl>
    <w:lvl w:ilvl="6">
      <w:numFmt w:val="bullet"/>
      <w:lvlText w:val=""/>
      <w:lvlJc w:val="left"/>
      <w:pPr>
        <w:tabs>
          <w:tab w:val="num" w:pos="0"/>
        </w:tabs>
        <w:ind w:left="3214" w:hanging="128"/>
      </w:pPr>
      <w:rPr>
        <w:rFonts w:ascii="Symbol" w:hAnsi="Symbol" w:cs="Symbol" w:hint="default"/>
        <w:lang w:val="pt-BR" w:eastAsia="pt-BR" w:bidi="pt-BR"/>
      </w:rPr>
    </w:lvl>
    <w:lvl w:ilvl="7">
      <w:numFmt w:val="bullet"/>
      <w:lvlText w:val=""/>
      <w:lvlJc w:val="left"/>
      <w:pPr>
        <w:tabs>
          <w:tab w:val="num" w:pos="0"/>
        </w:tabs>
        <w:ind w:left="3720" w:hanging="128"/>
      </w:pPr>
      <w:rPr>
        <w:rFonts w:ascii="Symbol" w:hAnsi="Symbol" w:cs="Symbol" w:hint="default"/>
        <w:lang w:val="pt-BR" w:eastAsia="pt-BR" w:bidi="pt-BR"/>
      </w:rPr>
    </w:lvl>
    <w:lvl w:ilvl="8">
      <w:numFmt w:val="bullet"/>
      <w:lvlText w:val=""/>
      <w:lvlJc w:val="left"/>
      <w:pPr>
        <w:tabs>
          <w:tab w:val="num" w:pos="0"/>
        </w:tabs>
        <w:ind w:left="4226" w:hanging="128"/>
      </w:pPr>
      <w:rPr>
        <w:rFonts w:ascii="Symbol" w:hAnsi="Symbol" w:cs="Symbol" w:hint="default"/>
        <w:lang w:val="pt-BR" w:eastAsia="pt-BR" w:bidi="pt-BR"/>
      </w:rPr>
    </w:lvl>
  </w:abstractNum>
  <w:abstractNum w:abstractNumId="9" w15:restartNumberingAfterBreak="0">
    <w:nsid w:val="6E1D0E17"/>
    <w:multiLevelType w:val="multilevel"/>
    <w:tmpl w:val="56AC6716"/>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10" w15:restartNumberingAfterBreak="0">
    <w:nsid w:val="6FA267D0"/>
    <w:multiLevelType w:val="multilevel"/>
    <w:tmpl w:val="E244CC42"/>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1" w15:restartNumberingAfterBreak="0">
    <w:nsid w:val="7923005F"/>
    <w:multiLevelType w:val="multilevel"/>
    <w:tmpl w:val="E5DCD932"/>
    <w:lvl w:ilvl="0">
      <w:numFmt w:val="bullet"/>
      <w:lvlText w:val="-"/>
      <w:lvlJc w:val="left"/>
      <w:pPr>
        <w:tabs>
          <w:tab w:val="num" w:pos="0"/>
        </w:tabs>
        <w:ind w:left="57" w:hanging="128"/>
      </w:pPr>
      <w:rPr>
        <w:rFonts w:ascii="Times New Roman" w:hAnsi="Times New Roman" w:cs="Times New Roman" w:hint="default"/>
        <w:w w:val="100"/>
        <w:sz w:val="22"/>
        <w:szCs w:val="22"/>
        <w:lang w:val="pt-BR" w:eastAsia="pt-BR" w:bidi="pt-BR"/>
      </w:rPr>
    </w:lvl>
    <w:lvl w:ilvl="1">
      <w:numFmt w:val="bullet"/>
      <w:lvlText w:val=""/>
      <w:lvlJc w:val="left"/>
      <w:pPr>
        <w:tabs>
          <w:tab w:val="num" w:pos="0"/>
        </w:tabs>
        <w:ind w:left="577" w:hanging="128"/>
      </w:pPr>
      <w:rPr>
        <w:rFonts w:ascii="Symbol" w:hAnsi="Symbol" w:cs="Symbol" w:hint="default"/>
        <w:lang w:val="pt-BR" w:eastAsia="pt-BR" w:bidi="pt-BR"/>
      </w:rPr>
    </w:lvl>
    <w:lvl w:ilvl="2">
      <w:numFmt w:val="bullet"/>
      <w:lvlText w:val=""/>
      <w:lvlJc w:val="left"/>
      <w:pPr>
        <w:tabs>
          <w:tab w:val="num" w:pos="0"/>
        </w:tabs>
        <w:ind w:left="1095" w:hanging="128"/>
      </w:pPr>
      <w:rPr>
        <w:rFonts w:ascii="Symbol" w:hAnsi="Symbol" w:cs="Symbol" w:hint="default"/>
        <w:lang w:val="pt-BR" w:eastAsia="pt-BR" w:bidi="pt-BR"/>
      </w:rPr>
    </w:lvl>
    <w:lvl w:ilvl="3">
      <w:numFmt w:val="bullet"/>
      <w:lvlText w:val=""/>
      <w:lvlJc w:val="left"/>
      <w:pPr>
        <w:tabs>
          <w:tab w:val="num" w:pos="0"/>
        </w:tabs>
        <w:ind w:left="1613" w:hanging="128"/>
      </w:pPr>
      <w:rPr>
        <w:rFonts w:ascii="Symbol" w:hAnsi="Symbol" w:cs="Symbol" w:hint="default"/>
        <w:lang w:val="pt-BR" w:eastAsia="pt-BR" w:bidi="pt-BR"/>
      </w:rPr>
    </w:lvl>
    <w:lvl w:ilvl="4">
      <w:numFmt w:val="bullet"/>
      <w:lvlText w:val=""/>
      <w:lvlJc w:val="left"/>
      <w:pPr>
        <w:tabs>
          <w:tab w:val="num" w:pos="0"/>
        </w:tabs>
        <w:ind w:left="2131" w:hanging="128"/>
      </w:pPr>
      <w:rPr>
        <w:rFonts w:ascii="Symbol" w:hAnsi="Symbol" w:cs="Symbol" w:hint="default"/>
        <w:lang w:val="pt-BR" w:eastAsia="pt-BR" w:bidi="pt-BR"/>
      </w:rPr>
    </w:lvl>
    <w:lvl w:ilvl="5">
      <w:numFmt w:val="bullet"/>
      <w:lvlText w:val=""/>
      <w:lvlJc w:val="left"/>
      <w:pPr>
        <w:tabs>
          <w:tab w:val="num" w:pos="0"/>
        </w:tabs>
        <w:ind w:left="2649" w:hanging="128"/>
      </w:pPr>
      <w:rPr>
        <w:rFonts w:ascii="Symbol" w:hAnsi="Symbol" w:cs="Symbol" w:hint="default"/>
        <w:lang w:val="pt-BR" w:eastAsia="pt-BR" w:bidi="pt-BR"/>
      </w:rPr>
    </w:lvl>
    <w:lvl w:ilvl="6">
      <w:numFmt w:val="bullet"/>
      <w:lvlText w:val=""/>
      <w:lvlJc w:val="left"/>
      <w:pPr>
        <w:tabs>
          <w:tab w:val="num" w:pos="0"/>
        </w:tabs>
        <w:ind w:left="3166" w:hanging="128"/>
      </w:pPr>
      <w:rPr>
        <w:rFonts w:ascii="Symbol" w:hAnsi="Symbol" w:cs="Symbol" w:hint="default"/>
        <w:lang w:val="pt-BR" w:eastAsia="pt-BR" w:bidi="pt-BR"/>
      </w:rPr>
    </w:lvl>
    <w:lvl w:ilvl="7">
      <w:numFmt w:val="bullet"/>
      <w:lvlText w:val=""/>
      <w:lvlJc w:val="left"/>
      <w:pPr>
        <w:tabs>
          <w:tab w:val="num" w:pos="0"/>
        </w:tabs>
        <w:ind w:left="3684" w:hanging="128"/>
      </w:pPr>
      <w:rPr>
        <w:rFonts w:ascii="Symbol" w:hAnsi="Symbol" w:cs="Symbol" w:hint="default"/>
        <w:lang w:val="pt-BR" w:eastAsia="pt-BR" w:bidi="pt-BR"/>
      </w:rPr>
    </w:lvl>
    <w:lvl w:ilvl="8">
      <w:numFmt w:val="bullet"/>
      <w:lvlText w:val=""/>
      <w:lvlJc w:val="left"/>
      <w:pPr>
        <w:tabs>
          <w:tab w:val="num" w:pos="0"/>
        </w:tabs>
        <w:ind w:left="4202" w:hanging="128"/>
      </w:pPr>
      <w:rPr>
        <w:rFonts w:ascii="Symbol" w:hAnsi="Symbol" w:cs="Symbol" w:hint="default"/>
        <w:lang w:val="pt-BR" w:eastAsia="pt-BR" w:bidi="pt-BR"/>
      </w:rPr>
    </w:lvl>
  </w:abstractNum>
  <w:abstractNum w:abstractNumId="12" w15:restartNumberingAfterBreak="0">
    <w:nsid w:val="79EA5EAC"/>
    <w:multiLevelType w:val="multilevel"/>
    <w:tmpl w:val="808CF8C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1"/>
  </w:num>
  <w:num w:numId="2">
    <w:abstractNumId w:val="12"/>
  </w:num>
  <w:num w:numId="3">
    <w:abstractNumId w:val="7"/>
  </w:num>
  <w:num w:numId="4">
    <w:abstractNumId w:val="4"/>
  </w:num>
  <w:num w:numId="5">
    <w:abstractNumId w:val="9"/>
  </w:num>
  <w:num w:numId="6">
    <w:abstractNumId w:val="2"/>
  </w:num>
  <w:num w:numId="7">
    <w:abstractNumId w:val="5"/>
  </w:num>
  <w:num w:numId="8">
    <w:abstractNumId w:val="11"/>
  </w:num>
  <w:num w:numId="9">
    <w:abstractNumId w:val="8"/>
  </w:num>
  <w:num w:numId="10">
    <w:abstractNumId w:val="0"/>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81"/>
    <w:rsid w:val="00630581"/>
    <w:rsid w:val="00C74C1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E6140-7130-4EA5-901D-7F47A06C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35"/>
    <w:pPr>
      <w:suppressAutoHyphens w:val="0"/>
    </w:pPr>
    <w:rPr>
      <w:rFonts w:ascii="Times New Roman" w:eastAsia="Times New Roman" w:hAnsi="Times New Roman" w:cs="Times New Roman"/>
      <w:sz w:val="24"/>
      <w:szCs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F07635"/>
    <w:rPr>
      <w:color w:val="0000FF"/>
      <w:u w:val="single"/>
    </w:rPr>
  </w:style>
  <w:style w:type="character" w:customStyle="1" w:styleId="CorpodetextoChar">
    <w:name w:val="Corpo de texto Char"/>
    <w:basedOn w:val="Fontepargpadro"/>
    <w:link w:val="Corpodetexto"/>
    <w:uiPriority w:val="1"/>
    <w:qFormat/>
    <w:rsid w:val="00240820"/>
    <w:rPr>
      <w:rFonts w:ascii="Arial" w:eastAsia="Arial" w:hAnsi="Arial" w:cs="Arial"/>
      <w:lang w:eastAsia="pt-BR" w:bidi="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240820"/>
    <w:pPr>
      <w:widowControl w:val="0"/>
      <w:spacing w:before="119"/>
      <w:ind w:left="1234"/>
    </w:pPr>
    <w:rPr>
      <w:sz w:val="22"/>
      <w:lang w:bidi="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iPriority w:val="99"/>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xmsonormal">
    <w:name w:val="x_msonormal"/>
    <w:basedOn w:val="Normal"/>
    <w:qFormat/>
    <w:rsid w:val="004444D6"/>
    <w:pPr>
      <w:spacing w:beforeAutospacing="1" w:afterAutospacing="1"/>
    </w:p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uppressAutoHyphens/>
      <w:ind w:left="708"/>
    </w:pPr>
    <w:rPr>
      <w:rFonts w:ascii="Cambria" w:eastAsia="MS Mincho" w:hAnsi="Cambria"/>
      <w:lang w:eastAsia="ar-SA"/>
    </w:rPr>
  </w:style>
  <w:style w:type="paragraph" w:customStyle="1" w:styleId="TableParagraph">
    <w:name w:val="Table Paragraph"/>
    <w:basedOn w:val="Normal"/>
    <w:uiPriority w:val="1"/>
    <w:qFormat/>
    <w:rsid w:val="00BA59C2"/>
    <w:pPr>
      <w:widowControl w:val="0"/>
    </w:pPr>
    <w:rPr>
      <w:sz w:val="22"/>
      <w:lang w:bidi="pt-BR"/>
    </w:rPr>
  </w:style>
  <w:style w:type="paragraph" w:styleId="NormalWeb">
    <w:name w:val="Normal (Web)"/>
    <w:basedOn w:val="Normal"/>
    <w:uiPriority w:val="99"/>
    <w:semiHidden/>
    <w:unhideWhenUsed/>
    <w:qFormat/>
    <w:rsid w:val="006E1BB2"/>
    <w:pPr>
      <w:spacing w:beforeAutospacing="1" w:afterAutospacing="1"/>
    </w:pPr>
  </w:style>
  <w:style w:type="paragraph" w:customStyle="1" w:styleId="Default">
    <w:name w:val="Default"/>
    <w:qFormat/>
    <w:rsid w:val="006C005A"/>
    <w:rPr>
      <w:rFonts w:ascii="Arial" w:eastAsia="Calibri" w:hAnsi="Arial" w:cs="Arial"/>
      <w:color w:val="000000"/>
      <w:sz w:val="24"/>
      <w:szCs w:val="24"/>
    </w:rPr>
  </w:style>
  <w:style w:type="paragraph" w:styleId="Reviso">
    <w:name w:val="Revision"/>
    <w:uiPriority w:val="99"/>
    <w:semiHidden/>
    <w:qFormat/>
    <w:rsid w:val="00FC679D"/>
    <w:rPr>
      <w:rFonts w:ascii="Arial" w:eastAsia="Arial" w:hAnsi="Arial" w:cs="Arial"/>
      <w:color w:val="000000"/>
      <w:sz w:val="24"/>
      <w:lang w:eastAsia="pt-BR"/>
    </w:rPr>
  </w:style>
  <w:style w:type="paragraph" w:customStyle="1" w:styleId="Contedodoquadro">
    <w:name w:val="Conteúdo do quadro"/>
    <w:basedOn w:val="Normal"/>
    <w:qFormat/>
  </w:style>
  <w:style w:type="numbering" w:customStyle="1" w:styleId="Listaatual1">
    <w:name w:val="Lista atual1"/>
    <w:uiPriority w:val="99"/>
    <w:qFormat/>
    <w:rsid w:val="005306E4"/>
  </w:style>
  <w:style w:type="numbering" w:customStyle="1" w:styleId="Listaatual2">
    <w:name w:val="Lista atual2"/>
    <w:uiPriority w:val="99"/>
    <w:qFormat/>
    <w:rsid w:val="005306E4"/>
  </w:style>
  <w:style w:type="numbering" w:customStyle="1" w:styleId="Listaatual3">
    <w:name w:val="Lista atual3"/>
    <w:uiPriority w:val="99"/>
    <w:qFormat/>
    <w:rsid w:val="00B05B33"/>
  </w:style>
  <w:style w:type="numbering" w:customStyle="1" w:styleId="Listaatual4">
    <w:name w:val="Lista atual4"/>
    <w:uiPriority w:val="99"/>
    <w:qFormat/>
    <w:rsid w:val="00756225"/>
  </w:style>
  <w:style w:type="numbering" w:customStyle="1" w:styleId="Listaatual5">
    <w:name w:val="Lista atual5"/>
    <w:uiPriority w:val="99"/>
    <w:qFormat/>
    <w:rsid w:val="00756225"/>
  </w:style>
  <w:style w:type="numbering" w:customStyle="1" w:styleId="Listaatual6">
    <w:name w:val="Lista atual6"/>
    <w:uiPriority w:val="99"/>
    <w:qFormat/>
    <w:rsid w:val="00756225"/>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https://transparencia.causp.gov.br/wp-content/uploads/2.-ANEXO-II-Formul&#225;rio-de-Apresenta&#231;&#227;o-do-Projeto.doc" TargetMode="External"/><Relationship Id="rId18" Type="http://schemas.openxmlformats.org/officeDocument/2006/relationships/hyperlink" Target="https://transparencia.causp.gov.br/wp-content/uploads/7.-ANEXO-VII-Declara&#231;&#227;o-art.-27-I-a-e-b-Decreto-8726-2016.doc" TargetMode="External"/><Relationship Id="rId26" Type="http://schemas.openxmlformats.org/officeDocument/2006/relationships/hyperlink" Target="https://transparencia.causp.gov.br/wp-content/uploads/15.-ANEXO-XIII-Minuta-Termo-de-Fomento.doc" TargetMode="External"/><Relationship Id="rId3" Type="http://schemas.openxmlformats.org/officeDocument/2006/relationships/styles" Target="styles.xml"/><Relationship Id="rId21" Type="http://schemas.openxmlformats.org/officeDocument/2006/relationships/hyperlink" Target="https://transparencia.causp.gov.br/wp-content/uploads/10.-ANEXO-X-Declara&#231;&#227;o-art.-33-Decreto-8726-2016.doc" TargetMode="External"/><Relationship Id="rId7" Type="http://schemas.openxmlformats.org/officeDocument/2006/relationships/endnotes" Target="endnotes.xml"/><Relationship Id="rId12" Type="http://schemas.openxmlformats.org/officeDocument/2006/relationships/hyperlink" Target="mailto:athis@caupr.gov.br" TargetMode="External"/><Relationship Id="rId17" Type="http://schemas.openxmlformats.org/officeDocument/2006/relationships/hyperlink" Target="https://transparencia.causp.gov.br/wp-content/uploads/6.-ANEXO-VI-Declara&#231;&#227;o-art.-26-X-Decreto-8.726-2016.doc" TargetMode="External"/><Relationship Id="rId25" Type="http://schemas.openxmlformats.org/officeDocument/2006/relationships/hyperlink" Target="https://transparencia.causp.gov.br/wp-content/uploads/14.-ANEXO-XII-Apenso-2-Relat&#243;rio-Final-Execu&#231;&#227;o-Financeira.docx" TargetMode="External"/><Relationship Id="rId2" Type="http://schemas.openxmlformats.org/officeDocument/2006/relationships/numbering" Target="numbering.xml"/><Relationship Id="rId16" Type="http://schemas.openxmlformats.org/officeDocument/2006/relationships/hyperlink" Target="https://transparencia.causp.gov.br/wp-content/uploads/5.-ANEXO-V-Declara&#231;&#227;o-Veda&#231;&#227;o-Dirigentes-CAUBR-e-CAUUF.doc" TargetMode="External"/><Relationship Id="rId20" Type="http://schemas.openxmlformats.org/officeDocument/2006/relationships/hyperlink" Target="https://transparencia.causp.gov.br/wp-content/uploads/9.-ANEXO-IX-Declara&#231;&#227;o-art.-27-III-Decreto-8726-2016.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pr.gov.br/" TargetMode="External"/><Relationship Id="rId24" Type="http://schemas.openxmlformats.org/officeDocument/2006/relationships/hyperlink" Target="https://transparencia.causp.gov.br/wp-content/uploads/13.-ANEXO-XII-Apenso-1-Relat&#243;rio-Final-Execu&#231;&#227;o-do-Objeto.docx" TargetMode="External"/><Relationship Id="rId5" Type="http://schemas.openxmlformats.org/officeDocument/2006/relationships/webSettings" Target="webSettings.xml"/><Relationship Id="rId15" Type="http://schemas.openxmlformats.org/officeDocument/2006/relationships/hyperlink" Target="https://transparencia.causp.gov.br/wp-content/uploads/4.-ANEXO-IV-Declara&#231;&#227;o-art.-26-IX-Decreto-8.726-2016.doc" TargetMode="External"/><Relationship Id="rId23" Type="http://schemas.openxmlformats.org/officeDocument/2006/relationships/hyperlink" Target="https://transparencia.causp.gov.br/wp-content/uploads/12.-ANEXO-XII-Manual-Presta&#231;&#227;o-Contas.doc" TargetMode="External"/><Relationship Id="rId28" Type="http://schemas.openxmlformats.org/officeDocument/2006/relationships/header" Target="header1.xml"/><Relationship Id="rId10" Type="http://schemas.openxmlformats.org/officeDocument/2006/relationships/hyperlink" Target="http://www.planalto.gov.br/ccivil_03/_Ato2011-2014/2014/Lei/L13019.htm" TargetMode="External"/><Relationship Id="rId19" Type="http://schemas.openxmlformats.org/officeDocument/2006/relationships/hyperlink" Target="https://transparencia.causp.gov.br/wp-content/uploads/8.-ANEXO-VIII-Declara&#231;&#227;o-art.-27-II-Decreto-8726-2016.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s://transparencia.causp.gov.br/wp-content/uploads/3.-ANEXO-III-Plano-de-Trabalho.docx" TargetMode="External"/><Relationship Id="rId22" Type="http://schemas.openxmlformats.org/officeDocument/2006/relationships/hyperlink" Target="https://transparencia.causp.gov.br/wp-content/uploads/11.-ANEXO-XI-Declara&#231;&#227;o-de-recebimento-de-repasse-de-recurso.doc" TargetMode="External"/><Relationship Id="rId27" Type="http://schemas.openxmlformats.org/officeDocument/2006/relationships/hyperlink" Target="https://transparencia.causp.gov.br/wp-content/uploads/16.-ANEXO-XIV-Cronograma-2&#170;-Publica&#231;&#227;o.doc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46AC-0621-4A9C-9722-8A091E69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9844</Words>
  <Characters>53161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2019-09-13T13:19:00Z</cp:lastPrinted>
  <dcterms:created xsi:type="dcterms:W3CDTF">2021-10-28T15:02:00Z</dcterms:created>
  <dcterms:modified xsi:type="dcterms:W3CDTF">2021-10-28T15:02:00Z</dcterms:modified>
  <dc:language>pt-BR</dc:language>
</cp:coreProperties>
</file>